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3E29A">
      <w:pPr>
        <w:jc w:val="center"/>
        <w:rPr>
          <w:rFonts w:hint="eastAsia" w:asciiTheme="majorEastAsia" w:hAnsiTheme="majorEastAsia" w:eastAsiaTheme="majorEastAsia" w:cstheme="majorEastAsia"/>
          <w:b/>
          <w:kern w:val="2"/>
          <w:sz w:val="52"/>
          <w:szCs w:val="24"/>
          <w:lang w:val="en-US" w:eastAsia="zh-CN" w:bidi="ar-SA"/>
        </w:rPr>
      </w:pPr>
    </w:p>
    <w:p w14:paraId="35D65CFF">
      <w:pPr>
        <w:jc w:val="center"/>
        <w:rPr>
          <w:rFonts w:hint="eastAsia" w:asciiTheme="majorEastAsia" w:hAnsiTheme="majorEastAsia" w:eastAsiaTheme="majorEastAsia" w:cstheme="majorEastAsia"/>
          <w:b/>
          <w:kern w:val="2"/>
          <w:sz w:val="52"/>
          <w:szCs w:val="24"/>
          <w:lang w:val="en-US" w:eastAsia="zh-CN" w:bidi="ar-SA"/>
        </w:rPr>
      </w:pPr>
    </w:p>
    <w:p w14:paraId="08D848B7">
      <w:pPr>
        <w:jc w:val="center"/>
        <w:rPr>
          <w:rFonts w:hint="eastAsia" w:asciiTheme="majorEastAsia" w:hAnsiTheme="majorEastAsia" w:eastAsiaTheme="majorEastAsia" w:cstheme="majorEastAsia"/>
          <w:b/>
          <w:kern w:val="2"/>
          <w:sz w:val="52"/>
          <w:szCs w:val="24"/>
          <w:lang w:val="en-US" w:eastAsia="zh-CN" w:bidi="ar-SA"/>
        </w:rPr>
      </w:pPr>
    </w:p>
    <w:p w14:paraId="008AA9D5">
      <w:pPr>
        <w:jc w:val="center"/>
        <w:rPr>
          <w:rFonts w:hint="eastAsia" w:asciiTheme="majorEastAsia" w:hAnsiTheme="majorEastAsia" w:eastAsiaTheme="majorEastAsia" w:cstheme="majorEastAsia"/>
          <w:b/>
          <w:kern w:val="2"/>
          <w:sz w:val="52"/>
          <w:szCs w:val="24"/>
          <w:lang w:val="en-US" w:eastAsia="zh-CN" w:bidi="ar-SA"/>
        </w:rPr>
      </w:pPr>
    </w:p>
    <w:p w14:paraId="388CF446">
      <w:pPr>
        <w:jc w:val="center"/>
        <w:rPr>
          <w:rFonts w:hint="eastAsia" w:asciiTheme="majorEastAsia" w:hAnsiTheme="majorEastAsia" w:eastAsiaTheme="majorEastAsia" w:cstheme="majorEastAsia"/>
          <w:b/>
          <w:kern w:val="2"/>
          <w:sz w:val="52"/>
          <w:szCs w:val="24"/>
          <w:lang w:val="en-US" w:eastAsia="zh-CN" w:bidi="ar-SA"/>
        </w:rPr>
      </w:pPr>
    </w:p>
    <w:p w14:paraId="2F2C1AB2">
      <w:pPr>
        <w:jc w:val="center"/>
        <w:rPr>
          <w:rFonts w:hint="eastAsia" w:asciiTheme="majorEastAsia" w:hAnsiTheme="majorEastAsia" w:eastAsiaTheme="majorEastAsia" w:cstheme="majorEastAsia"/>
          <w:b/>
          <w:kern w:val="2"/>
          <w:sz w:val="52"/>
          <w:szCs w:val="24"/>
          <w:lang w:val="en-US" w:eastAsia="zh-CN" w:bidi="ar-SA"/>
        </w:rPr>
      </w:pPr>
    </w:p>
    <w:p w14:paraId="02EB25FB">
      <w:pPr>
        <w:jc w:val="center"/>
        <w:rPr>
          <w:rFonts w:hint="eastAsia" w:asciiTheme="majorEastAsia" w:hAnsiTheme="majorEastAsia" w:eastAsiaTheme="majorEastAsia" w:cstheme="majorEastAsia"/>
          <w:b/>
          <w:kern w:val="2"/>
          <w:sz w:val="52"/>
          <w:szCs w:val="24"/>
          <w:lang w:val="en-US" w:eastAsia="zh-CN" w:bidi="ar-SA"/>
        </w:rPr>
      </w:pPr>
      <w:r>
        <w:rPr>
          <w:rFonts w:hint="eastAsia" w:asciiTheme="majorEastAsia" w:hAnsiTheme="majorEastAsia" w:eastAsiaTheme="majorEastAsia" w:cstheme="majorEastAsia"/>
          <w:b/>
          <w:kern w:val="2"/>
          <w:sz w:val="52"/>
          <w:szCs w:val="24"/>
          <w:lang w:val="en-US" w:eastAsia="zh-CN" w:bidi="ar-SA"/>
        </w:rPr>
        <w:t>青岛三柏硕健康科技股份有限公司</w:t>
      </w:r>
    </w:p>
    <w:p w14:paraId="22864386">
      <w:pPr>
        <w:pStyle w:val="22"/>
        <w:jc w:val="center"/>
        <w:rPr>
          <w:rFonts w:hint="eastAsia" w:asciiTheme="majorEastAsia" w:hAnsiTheme="majorEastAsia" w:eastAsiaTheme="majorEastAsia" w:cstheme="majorEastAsia"/>
          <w:b/>
          <w:sz w:val="52"/>
        </w:rPr>
      </w:pPr>
      <w:bookmarkStart w:id="0" w:name="OLE_LINK40"/>
      <w:bookmarkStart w:id="1" w:name="OLE_LINK41"/>
      <w:r>
        <w:rPr>
          <w:rFonts w:hint="eastAsia" w:asciiTheme="majorEastAsia" w:hAnsiTheme="majorEastAsia" w:eastAsiaTheme="majorEastAsia" w:cstheme="majorEastAsia"/>
          <w:b/>
          <w:sz w:val="52"/>
        </w:rPr>
        <w:t>ERP</w:t>
      </w:r>
      <w:r>
        <w:rPr>
          <w:rFonts w:hint="eastAsia" w:asciiTheme="majorEastAsia" w:hAnsiTheme="majorEastAsia" w:eastAsiaTheme="majorEastAsia" w:cstheme="majorEastAsia"/>
          <w:b/>
          <w:sz w:val="52"/>
        </w:rPr>
        <w:t>信息化系统与实施</w:t>
      </w:r>
    </w:p>
    <w:bookmarkEnd w:id="0"/>
    <w:bookmarkEnd w:id="1"/>
    <w:p w14:paraId="104AF4D8">
      <w:pPr>
        <w:jc w:val="center"/>
        <w:rPr>
          <w:rFonts w:hint="eastAsia" w:asciiTheme="majorEastAsia" w:hAnsiTheme="majorEastAsia" w:eastAsiaTheme="majorEastAsia" w:cstheme="majorEastAsia"/>
          <w:b/>
          <w:sz w:val="52"/>
          <w:lang w:val="en-US" w:eastAsia="zh-CN"/>
        </w:rPr>
      </w:pPr>
      <w:r>
        <w:rPr>
          <w:rFonts w:hint="eastAsia" w:asciiTheme="majorEastAsia" w:hAnsiTheme="majorEastAsia" w:eastAsiaTheme="majorEastAsia" w:cstheme="majorEastAsia"/>
          <w:b/>
          <w:sz w:val="52"/>
        </w:rPr>
        <w:t>项目招标</w:t>
      </w:r>
      <w:r>
        <w:rPr>
          <w:rFonts w:hint="eastAsia" w:asciiTheme="majorEastAsia" w:hAnsiTheme="majorEastAsia" w:eastAsiaTheme="majorEastAsia" w:cstheme="majorEastAsia"/>
          <w:b/>
          <w:sz w:val="52"/>
          <w:lang w:val="en-US" w:eastAsia="zh-CN"/>
        </w:rPr>
        <w:t>要求</w:t>
      </w:r>
    </w:p>
    <w:p w14:paraId="79EE25D5">
      <w:pPr>
        <w:rPr>
          <w:rFonts w:hint="eastAsia" w:asciiTheme="majorEastAsia" w:hAnsiTheme="majorEastAsia" w:eastAsiaTheme="majorEastAsia" w:cstheme="majorEastAsia"/>
          <w:b/>
          <w:sz w:val="52"/>
          <w:lang w:val="en-US" w:eastAsia="zh-CN"/>
        </w:rPr>
      </w:pPr>
      <w:r>
        <w:rPr>
          <w:rFonts w:hint="eastAsia" w:asciiTheme="majorEastAsia" w:hAnsiTheme="majorEastAsia" w:eastAsiaTheme="majorEastAsia" w:cstheme="majorEastAsia"/>
          <w:b/>
          <w:sz w:val="52"/>
          <w:lang w:val="en-US" w:eastAsia="zh-CN"/>
        </w:rPr>
        <w:br w:type="page"/>
      </w:r>
    </w:p>
    <w:p w14:paraId="06064E52">
      <w:pPr>
        <w:rPr>
          <w:rFonts w:hint="eastAsia" w:asciiTheme="majorEastAsia" w:hAnsiTheme="majorEastAsia" w:eastAsiaTheme="majorEastAsia" w:cstheme="majorEastAsia"/>
          <w:sz w:val="24"/>
        </w:rPr>
      </w:pPr>
    </w:p>
    <w:p w14:paraId="028A3A20">
      <w:pPr>
        <w:pStyle w:val="3"/>
        <w:numPr>
          <w:ilvl w:val="0"/>
          <w:numId w:val="1"/>
        </w:numP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法人组织范围：</w:t>
      </w:r>
    </w:p>
    <w:p w14:paraId="0562393F">
      <w:pPr>
        <w:ind w:firstLine="480" w:firstLineChars="20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本次ERP实施</w:t>
      </w:r>
      <w:r>
        <w:rPr>
          <w:rFonts w:hint="eastAsia" w:asciiTheme="majorEastAsia" w:hAnsiTheme="majorEastAsia" w:eastAsiaTheme="majorEastAsia" w:cstheme="majorEastAsia"/>
          <w:sz w:val="24"/>
          <w:lang w:val="en-US" w:eastAsia="zh-CN"/>
        </w:rPr>
        <w:t>范围</w:t>
      </w:r>
      <w:r>
        <w:rPr>
          <w:rFonts w:hint="eastAsia" w:asciiTheme="majorEastAsia" w:hAnsiTheme="majorEastAsia" w:eastAsiaTheme="majorEastAsia" w:cstheme="majorEastAsia"/>
          <w:sz w:val="24"/>
        </w:rPr>
        <w:t>包括：</w:t>
      </w:r>
    </w:p>
    <w:p w14:paraId="41DA6D57">
      <w:pPr>
        <w:ind w:firstLine="482" w:firstLineChars="200"/>
        <w:rPr>
          <w:rFonts w:hint="eastAsia" w:asciiTheme="majorEastAsia" w:hAnsiTheme="majorEastAsia" w:eastAsiaTheme="majorEastAsia" w:cstheme="majorEastAsia"/>
          <w:b/>
          <w:bCs/>
          <w:sz w:val="24"/>
        </w:rPr>
      </w:pPr>
    </w:p>
    <w:tbl>
      <w:tblPr>
        <w:tblStyle w:val="12"/>
        <w:tblW w:w="888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0"/>
        <w:gridCol w:w="2003"/>
        <w:gridCol w:w="5857"/>
      </w:tblGrid>
      <w:tr w14:paraId="646BC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020" w:type="dxa"/>
            <w:tcBorders>
              <w:top w:val="single" w:color="000000" w:sz="4" w:space="0"/>
              <w:left w:val="single" w:color="000000" w:sz="4" w:space="0"/>
              <w:bottom w:val="single" w:color="000000" w:sz="4" w:space="0"/>
              <w:right w:val="single" w:color="000000" w:sz="4" w:space="0"/>
            </w:tcBorders>
            <w:shd w:val="clear" w:color="4472C4" w:fill="4472C4"/>
            <w:vAlign w:val="center"/>
          </w:tcPr>
          <w:p w14:paraId="2AEFA32A">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FFFFFF"/>
                <w:sz w:val="22"/>
                <w:szCs w:val="22"/>
                <w:u w:val="none"/>
              </w:rPr>
            </w:pPr>
            <w:r>
              <w:rPr>
                <w:rFonts w:hint="eastAsia" w:asciiTheme="majorEastAsia" w:hAnsiTheme="majorEastAsia" w:eastAsiaTheme="majorEastAsia" w:cstheme="majorEastAsia"/>
                <w:b/>
                <w:bCs/>
                <w:i w:val="0"/>
                <w:iCs w:val="0"/>
                <w:color w:val="FFFFFF"/>
                <w:kern w:val="0"/>
                <w:sz w:val="22"/>
                <w:szCs w:val="22"/>
                <w:u w:val="none"/>
                <w:lang w:val="en-US" w:eastAsia="zh-CN" w:bidi="ar"/>
              </w:rPr>
              <w:t>序号</w:t>
            </w:r>
          </w:p>
        </w:tc>
        <w:tc>
          <w:tcPr>
            <w:tcW w:w="2003" w:type="dxa"/>
            <w:tcBorders>
              <w:top w:val="single" w:color="000000" w:sz="4" w:space="0"/>
              <w:left w:val="single" w:color="000000" w:sz="4" w:space="0"/>
              <w:bottom w:val="single" w:color="000000" w:sz="4" w:space="0"/>
              <w:right w:val="single" w:color="000000" w:sz="4" w:space="0"/>
            </w:tcBorders>
            <w:shd w:val="clear" w:color="4472C4" w:fill="4472C4"/>
            <w:vAlign w:val="center"/>
          </w:tcPr>
          <w:p w14:paraId="47F48D06">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FFFFFF"/>
                <w:sz w:val="22"/>
                <w:szCs w:val="22"/>
                <w:u w:val="none"/>
              </w:rPr>
            </w:pPr>
            <w:r>
              <w:rPr>
                <w:rFonts w:hint="eastAsia" w:asciiTheme="majorEastAsia" w:hAnsiTheme="majorEastAsia" w:eastAsiaTheme="majorEastAsia" w:cstheme="majorEastAsia"/>
                <w:b/>
                <w:bCs/>
                <w:i w:val="0"/>
                <w:iCs w:val="0"/>
                <w:color w:val="FFFFFF"/>
                <w:kern w:val="0"/>
                <w:sz w:val="22"/>
                <w:szCs w:val="22"/>
                <w:u w:val="none"/>
                <w:lang w:val="en-US" w:eastAsia="zh-CN" w:bidi="ar"/>
              </w:rPr>
              <w:t>公司简称</w:t>
            </w:r>
          </w:p>
        </w:tc>
        <w:tc>
          <w:tcPr>
            <w:tcW w:w="5857" w:type="dxa"/>
            <w:tcBorders>
              <w:top w:val="single" w:color="000000" w:sz="4" w:space="0"/>
              <w:left w:val="single" w:color="000000" w:sz="4" w:space="0"/>
              <w:bottom w:val="single" w:color="000000" w:sz="4" w:space="0"/>
              <w:right w:val="single" w:color="000000" w:sz="4" w:space="0"/>
            </w:tcBorders>
            <w:shd w:val="clear" w:color="4472C4" w:fill="4472C4"/>
            <w:vAlign w:val="center"/>
          </w:tcPr>
          <w:p w14:paraId="56DF91BB">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FFFFFF"/>
                <w:sz w:val="22"/>
                <w:szCs w:val="22"/>
                <w:u w:val="none"/>
              </w:rPr>
            </w:pPr>
            <w:r>
              <w:rPr>
                <w:rFonts w:hint="eastAsia" w:asciiTheme="majorEastAsia" w:hAnsiTheme="majorEastAsia" w:eastAsiaTheme="majorEastAsia" w:cstheme="majorEastAsia"/>
                <w:b/>
                <w:bCs/>
                <w:i w:val="0"/>
                <w:iCs w:val="0"/>
                <w:color w:val="FFFFFF"/>
                <w:kern w:val="0"/>
                <w:sz w:val="22"/>
                <w:szCs w:val="22"/>
                <w:u w:val="none"/>
                <w:lang w:val="en-US" w:eastAsia="zh-CN" w:bidi="ar"/>
              </w:rPr>
              <w:t>业务范围</w:t>
            </w:r>
          </w:p>
        </w:tc>
      </w:tr>
      <w:tr w14:paraId="1A2A0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F08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A97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三柏硕</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55B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财务、供应链、生产制造，2个工厂组织</w:t>
            </w:r>
          </w:p>
        </w:tc>
      </w:tr>
      <w:tr w14:paraId="5EF5E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940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A6D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海硕健身</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517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财务、供应链、生产制造</w:t>
            </w:r>
          </w:p>
        </w:tc>
      </w:tr>
      <w:tr w14:paraId="0F200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91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0C6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三柏硕（越南）</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C6D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财务、供应链、生产制造、多账簿</w:t>
            </w:r>
          </w:p>
        </w:tc>
      </w:tr>
      <w:tr w14:paraId="2AD53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DAC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0BD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三硕钢管</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B06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财务、供应链、生产制造</w:t>
            </w:r>
          </w:p>
        </w:tc>
      </w:tr>
      <w:tr w14:paraId="67DCF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CD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12B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瑜阳（国内电商）</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1F3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财务、供应链</w:t>
            </w:r>
          </w:p>
        </w:tc>
      </w:tr>
      <w:tr w14:paraId="79142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E7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715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三硕模具</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18F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财务、供应链</w:t>
            </w:r>
          </w:p>
        </w:tc>
      </w:tr>
      <w:tr w14:paraId="33632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411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226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三柏硕（北京）</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71A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财务、供应链</w:t>
            </w:r>
          </w:p>
        </w:tc>
      </w:tr>
      <w:tr w14:paraId="7C2BF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AB8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6CD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三柏硕（深圳）</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812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财务、供应链</w:t>
            </w:r>
          </w:p>
        </w:tc>
      </w:tr>
      <w:tr w14:paraId="31B81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1E0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3CD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三柏硕（香港）</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925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财务、供应链、美元账簿</w:t>
            </w:r>
          </w:p>
        </w:tc>
      </w:tr>
      <w:tr w14:paraId="2D5A3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165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8D12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柏行智数</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D06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w:t>
            </w:r>
          </w:p>
        </w:tc>
      </w:tr>
      <w:tr w14:paraId="5439F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6E9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96E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得高钢塑</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557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w:t>
            </w:r>
          </w:p>
        </w:tc>
      </w:tr>
      <w:tr w14:paraId="7EBAA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E48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0C7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Ocean Master</w:t>
            </w:r>
          </w:p>
        </w:tc>
        <w:tc>
          <w:tcPr>
            <w:tcW w:w="5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C36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财务、美元账簿</w:t>
            </w:r>
          </w:p>
        </w:tc>
      </w:tr>
    </w:tbl>
    <w:p w14:paraId="4C5B08FD">
      <w:pPr>
        <w:ind w:firstLine="482" w:firstLineChars="200"/>
        <w:rPr>
          <w:rFonts w:hint="eastAsia" w:asciiTheme="majorEastAsia" w:hAnsiTheme="majorEastAsia" w:eastAsiaTheme="majorEastAsia" w:cstheme="majorEastAsia"/>
          <w:b/>
          <w:bCs/>
          <w:sz w:val="24"/>
        </w:rPr>
      </w:pPr>
    </w:p>
    <w:p w14:paraId="3C7EB2F3">
      <w:pPr>
        <w:pStyle w:val="3"/>
        <w:numPr>
          <w:ilvl w:val="0"/>
          <w:numId w:val="1"/>
        </w:numP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ERP功能范围：</w:t>
      </w:r>
    </w:p>
    <w:tbl>
      <w:tblPr>
        <w:tblStyle w:val="12"/>
        <w:tblW w:w="888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9"/>
        <w:gridCol w:w="2003"/>
        <w:gridCol w:w="5858"/>
      </w:tblGrid>
      <w:tr w14:paraId="55099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20" w:type="dxa"/>
            <w:tcBorders>
              <w:top w:val="single" w:color="000000" w:sz="4" w:space="0"/>
              <w:left w:val="single" w:color="000000" w:sz="4" w:space="0"/>
              <w:bottom w:val="single" w:color="000000" w:sz="4" w:space="0"/>
              <w:right w:val="single" w:color="000000" w:sz="4" w:space="0"/>
            </w:tcBorders>
            <w:shd w:val="clear" w:color="4472C4" w:fill="4472C4"/>
            <w:vAlign w:val="center"/>
          </w:tcPr>
          <w:p w14:paraId="65EFA5A5">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FFFFFF"/>
                <w:sz w:val="22"/>
                <w:szCs w:val="22"/>
                <w:u w:val="none"/>
              </w:rPr>
            </w:pPr>
            <w:r>
              <w:rPr>
                <w:rFonts w:hint="eastAsia" w:asciiTheme="majorEastAsia" w:hAnsiTheme="majorEastAsia" w:eastAsiaTheme="majorEastAsia" w:cstheme="majorEastAsia"/>
                <w:b/>
                <w:bCs/>
                <w:i w:val="0"/>
                <w:iCs w:val="0"/>
                <w:color w:val="FFFFFF"/>
                <w:kern w:val="0"/>
                <w:sz w:val="22"/>
                <w:szCs w:val="22"/>
                <w:u w:val="none"/>
                <w:lang w:val="en-US" w:eastAsia="zh-CN" w:bidi="ar"/>
              </w:rPr>
              <w:t>序号</w:t>
            </w:r>
          </w:p>
        </w:tc>
        <w:tc>
          <w:tcPr>
            <w:tcW w:w="2003" w:type="dxa"/>
            <w:tcBorders>
              <w:top w:val="single" w:color="000000" w:sz="4" w:space="0"/>
              <w:left w:val="single" w:color="000000" w:sz="4" w:space="0"/>
              <w:bottom w:val="single" w:color="000000" w:sz="4" w:space="0"/>
              <w:right w:val="single" w:color="000000" w:sz="4" w:space="0"/>
            </w:tcBorders>
            <w:shd w:val="clear" w:color="4472C4" w:fill="4472C4"/>
            <w:vAlign w:val="center"/>
          </w:tcPr>
          <w:p w14:paraId="1FBF1CC7">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FFFFFF"/>
                <w:sz w:val="22"/>
                <w:szCs w:val="22"/>
                <w:u w:val="none"/>
              </w:rPr>
            </w:pPr>
            <w:r>
              <w:rPr>
                <w:rFonts w:hint="eastAsia" w:asciiTheme="majorEastAsia" w:hAnsiTheme="majorEastAsia" w:eastAsiaTheme="majorEastAsia" w:cstheme="majorEastAsia"/>
                <w:b/>
                <w:bCs/>
                <w:i w:val="0"/>
                <w:iCs w:val="0"/>
                <w:color w:val="FFFFFF"/>
                <w:kern w:val="0"/>
                <w:sz w:val="22"/>
                <w:szCs w:val="22"/>
                <w:u w:val="none"/>
                <w:lang w:val="en-US" w:eastAsia="zh-CN" w:bidi="ar"/>
              </w:rPr>
              <w:t>领域</w:t>
            </w:r>
          </w:p>
        </w:tc>
        <w:tc>
          <w:tcPr>
            <w:tcW w:w="5859" w:type="dxa"/>
            <w:tcBorders>
              <w:top w:val="single" w:color="000000" w:sz="4" w:space="0"/>
              <w:left w:val="single" w:color="000000" w:sz="4" w:space="0"/>
              <w:bottom w:val="single" w:color="000000" w:sz="4" w:space="0"/>
              <w:right w:val="single" w:color="000000" w:sz="4" w:space="0"/>
            </w:tcBorders>
            <w:shd w:val="clear" w:color="4472C4" w:fill="4472C4"/>
            <w:vAlign w:val="center"/>
          </w:tcPr>
          <w:p w14:paraId="29E01A28">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FFFFFF"/>
                <w:sz w:val="22"/>
                <w:szCs w:val="22"/>
                <w:u w:val="none"/>
              </w:rPr>
            </w:pPr>
            <w:r>
              <w:rPr>
                <w:rFonts w:hint="eastAsia" w:asciiTheme="majorEastAsia" w:hAnsiTheme="majorEastAsia" w:eastAsiaTheme="majorEastAsia" w:cstheme="majorEastAsia"/>
                <w:b/>
                <w:bCs/>
                <w:i w:val="0"/>
                <w:iCs w:val="0"/>
                <w:color w:val="FFFFFF"/>
                <w:kern w:val="0"/>
                <w:sz w:val="22"/>
                <w:szCs w:val="22"/>
                <w:u w:val="none"/>
                <w:lang w:val="en-US" w:eastAsia="zh-CN" w:bidi="ar"/>
              </w:rPr>
              <w:t>模块</w:t>
            </w:r>
          </w:p>
        </w:tc>
      </w:tr>
      <w:tr w14:paraId="11FB5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EE9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A8DF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财务核算</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A92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总账</w:t>
            </w:r>
          </w:p>
        </w:tc>
      </w:tr>
      <w:tr w14:paraId="79C18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D4B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B9A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财务核算</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F0D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多账簿核算</w:t>
            </w:r>
          </w:p>
        </w:tc>
      </w:tr>
      <w:tr w14:paraId="27287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BA0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055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财务核算</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46E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固定资产</w:t>
            </w:r>
          </w:p>
        </w:tc>
      </w:tr>
      <w:tr w14:paraId="46AAD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1B3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988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财务核算</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389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财务报表</w:t>
            </w:r>
          </w:p>
        </w:tc>
      </w:tr>
      <w:tr w14:paraId="70088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B11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AD8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财务核算</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F24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应收管理</w:t>
            </w:r>
          </w:p>
        </w:tc>
      </w:tr>
      <w:tr w14:paraId="0E92A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670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D89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财务核算</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9B4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应付管理</w:t>
            </w:r>
          </w:p>
        </w:tc>
      </w:tr>
      <w:tr w14:paraId="0E445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30A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BC4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财务核算</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B52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现金管理</w:t>
            </w:r>
          </w:p>
        </w:tc>
      </w:tr>
      <w:tr w14:paraId="3624E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6B0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7C5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成本</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374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存货核算</w:t>
            </w:r>
          </w:p>
        </w:tc>
      </w:tr>
      <w:tr w14:paraId="087E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AB2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263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成本</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CE8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产品成本</w:t>
            </w:r>
          </w:p>
        </w:tc>
      </w:tr>
      <w:tr w14:paraId="7292B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84CE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BB7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供应链</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42A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销售管理</w:t>
            </w:r>
          </w:p>
        </w:tc>
      </w:tr>
      <w:tr w14:paraId="270E3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53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982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供应链</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A90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采购管理</w:t>
            </w:r>
          </w:p>
        </w:tc>
      </w:tr>
      <w:tr w14:paraId="395AC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5D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12</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D00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供应链</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8F2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库存管理</w:t>
            </w:r>
          </w:p>
        </w:tc>
      </w:tr>
      <w:tr w14:paraId="1BA8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147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13</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A37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供应链</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212A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委外管理</w:t>
            </w:r>
          </w:p>
        </w:tc>
      </w:tr>
      <w:tr w14:paraId="58228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E6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14</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9CF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供应链</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41E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工序委外管理</w:t>
            </w:r>
          </w:p>
        </w:tc>
      </w:tr>
      <w:tr w14:paraId="0BDA1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D4D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15</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9D0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供应链</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5929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质量管理</w:t>
            </w:r>
          </w:p>
        </w:tc>
      </w:tr>
      <w:tr w14:paraId="33C87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52A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16</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019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生产制造</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808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物料清单</w:t>
            </w:r>
          </w:p>
        </w:tc>
      </w:tr>
      <w:tr w14:paraId="17F74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D17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17</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C93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生产制造</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5360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工艺路线</w:t>
            </w:r>
          </w:p>
        </w:tc>
      </w:tr>
      <w:tr w14:paraId="3E558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424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18</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065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生产制造</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2BF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工程变更</w:t>
            </w:r>
          </w:p>
        </w:tc>
      </w:tr>
      <w:tr w14:paraId="29D9F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AB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19</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64A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生产制造</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B53C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物料需求计划</w:t>
            </w:r>
          </w:p>
        </w:tc>
      </w:tr>
      <w:tr w14:paraId="39054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595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20</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B2DA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生产制造</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A8D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生产管理</w:t>
            </w:r>
          </w:p>
        </w:tc>
      </w:tr>
      <w:tr w14:paraId="65FC1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106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21</w:t>
            </w:r>
          </w:p>
        </w:tc>
        <w:tc>
          <w:tcPr>
            <w:tcW w:w="2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412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生产制造</w:t>
            </w:r>
          </w:p>
        </w:tc>
        <w:tc>
          <w:tcPr>
            <w:tcW w:w="5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A99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0"/>
                <w:szCs w:val="20"/>
                <w:u w:val="none"/>
              </w:rPr>
            </w:pPr>
            <w:r>
              <w:rPr>
                <w:rFonts w:hint="eastAsia" w:asciiTheme="majorEastAsia" w:hAnsiTheme="majorEastAsia" w:eastAsiaTheme="majorEastAsia" w:cstheme="majorEastAsia"/>
                <w:i w:val="0"/>
                <w:iCs w:val="0"/>
                <w:color w:val="000000"/>
                <w:kern w:val="0"/>
                <w:sz w:val="20"/>
                <w:szCs w:val="20"/>
                <w:u w:val="none"/>
                <w:lang w:val="en-US" w:eastAsia="zh-CN" w:bidi="ar"/>
              </w:rPr>
              <w:t>车间管理</w:t>
            </w:r>
          </w:p>
        </w:tc>
      </w:tr>
    </w:tbl>
    <w:p w14:paraId="7A72C2CB">
      <w:pPr>
        <w:ind w:firstLine="482" w:firstLineChars="200"/>
        <w:rPr>
          <w:rFonts w:hint="eastAsia" w:asciiTheme="majorEastAsia" w:hAnsiTheme="majorEastAsia" w:eastAsiaTheme="majorEastAsia" w:cstheme="majorEastAsia"/>
          <w:b/>
          <w:bCs/>
          <w:sz w:val="24"/>
        </w:rPr>
      </w:pPr>
    </w:p>
    <w:p w14:paraId="5135FBF8">
      <w:pPr>
        <w:ind w:firstLine="482" w:firstLineChars="200"/>
        <w:rPr>
          <w:rFonts w:hint="eastAsia" w:asciiTheme="majorEastAsia" w:hAnsiTheme="majorEastAsia" w:eastAsiaTheme="majorEastAsia" w:cstheme="majorEastAsia"/>
          <w:b/>
          <w:bCs/>
          <w:sz w:val="24"/>
        </w:rPr>
      </w:pPr>
    </w:p>
    <w:p w14:paraId="3E52AAE8">
      <w:pPr>
        <w:ind w:firstLine="480" w:firstLineChars="200"/>
        <w:rPr>
          <w:rFonts w:hint="eastAsia" w:asciiTheme="majorEastAsia" w:hAnsiTheme="majorEastAsia" w:eastAsiaTheme="majorEastAsia" w:cstheme="majorEastAsia"/>
          <w:sz w:val="24"/>
        </w:rPr>
      </w:pPr>
    </w:p>
    <w:p w14:paraId="1EDE615F">
      <w:pPr>
        <w:pStyle w:val="3"/>
        <w:numPr>
          <w:ilvl w:val="0"/>
          <w:numId w:val="1"/>
        </w:numP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报价要求：</w:t>
      </w:r>
    </w:p>
    <w:p w14:paraId="06D75DF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本次实施的软件</w:t>
      </w:r>
      <w:r>
        <w:rPr>
          <w:rFonts w:hint="eastAsia" w:asciiTheme="majorEastAsia" w:hAnsiTheme="majorEastAsia" w:eastAsiaTheme="majorEastAsia" w:cstheme="majorEastAsia"/>
          <w:sz w:val="24"/>
        </w:rPr>
        <w:t>产品费用</w:t>
      </w:r>
      <w:r>
        <w:rPr>
          <w:rFonts w:hint="eastAsia" w:asciiTheme="majorEastAsia" w:hAnsiTheme="majorEastAsia" w:eastAsiaTheme="majorEastAsia" w:cstheme="majorEastAsia"/>
          <w:sz w:val="24"/>
          <w:lang w:eastAsia="zh-CN"/>
        </w:rPr>
        <w:t>、</w:t>
      </w:r>
      <w:r>
        <w:rPr>
          <w:rFonts w:hint="eastAsia" w:asciiTheme="majorEastAsia" w:hAnsiTheme="majorEastAsia" w:eastAsiaTheme="majorEastAsia" w:cstheme="majorEastAsia"/>
          <w:sz w:val="24"/>
        </w:rPr>
        <w:t>实施费用</w:t>
      </w:r>
      <w:r>
        <w:rPr>
          <w:rFonts w:hint="eastAsia" w:asciiTheme="majorEastAsia" w:hAnsiTheme="majorEastAsia" w:eastAsiaTheme="majorEastAsia" w:cstheme="majorEastAsia"/>
          <w:sz w:val="24"/>
          <w:lang w:eastAsia="zh-CN"/>
        </w:rPr>
        <w:t>、</w:t>
      </w:r>
      <w:r>
        <w:rPr>
          <w:rFonts w:hint="eastAsia" w:asciiTheme="majorEastAsia" w:hAnsiTheme="majorEastAsia" w:eastAsiaTheme="majorEastAsia" w:cstheme="majorEastAsia"/>
          <w:sz w:val="24"/>
          <w:lang w:val="en-US" w:eastAsia="zh-CN"/>
        </w:rPr>
        <w:t>开发费用</w:t>
      </w:r>
      <w:r>
        <w:rPr>
          <w:rFonts w:hint="eastAsia" w:asciiTheme="majorEastAsia" w:hAnsiTheme="majorEastAsia" w:eastAsiaTheme="majorEastAsia" w:cstheme="majorEastAsia"/>
          <w:sz w:val="24"/>
        </w:rPr>
        <w:t>需单独列示报价；</w:t>
      </w:r>
    </w:p>
    <w:p w14:paraId="580D1AF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如产品是打包核心模块请列示模块后给出汇总单价，如果产品是按照模块计费，请按照</w:t>
      </w:r>
      <w:r>
        <w:rPr>
          <w:rFonts w:hint="eastAsia" w:asciiTheme="majorEastAsia" w:hAnsiTheme="majorEastAsia" w:eastAsiaTheme="majorEastAsia" w:cstheme="majorEastAsia"/>
          <w:sz w:val="24"/>
          <w:lang w:val="en-US" w:eastAsia="zh-CN"/>
        </w:rPr>
        <w:t>明细</w:t>
      </w:r>
      <w:r>
        <w:rPr>
          <w:rFonts w:hint="eastAsia" w:asciiTheme="majorEastAsia" w:hAnsiTheme="majorEastAsia" w:eastAsiaTheme="majorEastAsia" w:cstheme="majorEastAsia"/>
          <w:sz w:val="24"/>
        </w:rPr>
        <w:t>的模块进行每个模块进行列示单价，需要分别注明未税、税率和含税价格。</w:t>
      </w:r>
    </w:p>
    <w:p w14:paraId="0AE5C0D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实施报价根据模块按照人天进行核算报价，需要分别注明未税、税率和含税价格。</w:t>
      </w:r>
    </w:p>
    <w:p w14:paraId="29EF47C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实施报价需按法人组织分别列示。</w:t>
      </w:r>
    </w:p>
    <w:p w14:paraId="712E1E2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后续每年服务价格需列示，并明确服务内容。</w:t>
      </w:r>
    </w:p>
    <w:p w14:paraId="7AC59AF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越南税务对接，BI应用，集团成本还原，外贸模块，税务发票，SRM，电商集成等领域，不作为一期招标范围，做为未来的规划，也需要报价。</w:t>
      </w:r>
    </w:p>
    <w:p w14:paraId="24DAFE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4"/>
        </w:rPr>
      </w:pPr>
    </w:p>
    <w:p w14:paraId="78167899">
      <w:pPr>
        <w:rPr>
          <w:rFonts w:hint="eastAsia" w:asciiTheme="majorEastAsia" w:hAnsiTheme="majorEastAsia" w:eastAsiaTheme="majorEastAsia" w:cstheme="majorEastAsia"/>
          <w:sz w:val="24"/>
        </w:rPr>
      </w:pPr>
    </w:p>
    <w:p w14:paraId="7BAA6164">
      <w:pPr>
        <w:pStyle w:val="3"/>
        <w:numPr>
          <w:ilvl w:val="0"/>
          <w:numId w:val="1"/>
        </w:numPr>
        <w:rPr>
          <w:rFonts w:hint="eastAsia" w:asciiTheme="majorEastAsia" w:hAnsiTheme="majorEastAsia" w:eastAsiaTheme="majorEastAsia" w:cstheme="majorEastAsia"/>
          <w:sz w:val="24"/>
        </w:rPr>
      </w:pPr>
      <w:bookmarkStart w:id="2" w:name="_bookmark11"/>
      <w:bookmarkEnd w:id="2"/>
      <w:bookmarkStart w:id="3" w:name="3.2对项目需求的理解"/>
      <w:bookmarkEnd w:id="3"/>
      <w:r>
        <w:rPr>
          <w:rFonts w:hint="eastAsia" w:asciiTheme="majorEastAsia" w:hAnsiTheme="majorEastAsia" w:eastAsiaTheme="majorEastAsia" w:cstheme="majorEastAsia"/>
          <w:sz w:val="24"/>
          <w:lang w:val="en-US" w:eastAsia="zh-CN"/>
        </w:rPr>
        <w:t>整体技术要求</w:t>
      </w:r>
    </w:p>
    <w:tbl>
      <w:tblPr>
        <w:tblStyle w:val="12"/>
        <w:tblW w:w="8522"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21"/>
        <w:gridCol w:w="5801"/>
      </w:tblGrid>
      <w:tr w14:paraId="5B3E3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D7D7D7"/>
            <w:vAlign w:val="center"/>
          </w:tcPr>
          <w:p w14:paraId="1DC671D2">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sz w:val="24"/>
                <w:szCs w:val="24"/>
                <w:u w:val="none"/>
              </w:rPr>
            </w:pPr>
            <w:r>
              <w:rPr>
                <w:rFonts w:hint="eastAsia" w:asciiTheme="majorEastAsia" w:hAnsiTheme="majorEastAsia" w:eastAsiaTheme="majorEastAsia" w:cstheme="majorEastAsia"/>
                <w:i w:val="0"/>
                <w:iCs w:val="0"/>
                <w:color w:val="000000"/>
                <w:kern w:val="0"/>
                <w:sz w:val="24"/>
                <w:szCs w:val="24"/>
                <w:u w:val="none"/>
                <w:lang w:val="en-US" w:eastAsia="zh-CN" w:bidi="ar"/>
              </w:rPr>
              <w:t>业务</w:t>
            </w:r>
            <w:bookmarkStart w:id="4" w:name="_GoBack"/>
            <w:bookmarkEnd w:id="4"/>
            <w:r>
              <w:rPr>
                <w:rFonts w:hint="eastAsia" w:asciiTheme="majorEastAsia" w:hAnsiTheme="majorEastAsia" w:eastAsiaTheme="majorEastAsia" w:cstheme="majorEastAsia"/>
                <w:i w:val="0"/>
                <w:iCs w:val="0"/>
                <w:color w:val="000000"/>
                <w:kern w:val="0"/>
                <w:sz w:val="24"/>
                <w:szCs w:val="24"/>
                <w:u w:val="none"/>
                <w:lang w:val="en-US" w:eastAsia="zh-CN" w:bidi="ar"/>
              </w:rPr>
              <w:t>需求</w:t>
            </w:r>
          </w:p>
        </w:tc>
        <w:tc>
          <w:tcPr>
            <w:tcW w:w="5801" w:type="dxa"/>
            <w:tcBorders>
              <w:top w:val="single" w:color="000000" w:sz="4" w:space="0"/>
              <w:left w:val="single" w:color="000000" w:sz="4" w:space="0"/>
              <w:bottom w:val="single" w:color="000000" w:sz="4" w:space="0"/>
              <w:right w:val="single" w:color="000000" w:sz="4" w:space="0"/>
            </w:tcBorders>
            <w:shd w:val="clear" w:color="auto" w:fill="D7D7D7"/>
            <w:noWrap/>
            <w:vAlign w:val="center"/>
          </w:tcPr>
          <w:p w14:paraId="59C0C702">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sz w:val="24"/>
                <w:szCs w:val="24"/>
                <w:u w:val="none"/>
              </w:rPr>
            </w:pPr>
            <w:r>
              <w:rPr>
                <w:rFonts w:hint="eastAsia" w:asciiTheme="majorEastAsia" w:hAnsiTheme="majorEastAsia" w:eastAsiaTheme="majorEastAsia" w:cstheme="majorEastAsia"/>
                <w:i w:val="0"/>
                <w:iCs w:val="0"/>
                <w:color w:val="000000"/>
                <w:kern w:val="0"/>
                <w:sz w:val="24"/>
                <w:szCs w:val="24"/>
                <w:u w:val="none"/>
                <w:lang w:val="en-US" w:eastAsia="zh-CN" w:bidi="ar"/>
              </w:rPr>
              <w:t>需求描述</w:t>
            </w:r>
          </w:p>
        </w:tc>
      </w:tr>
      <w:tr w14:paraId="35038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D8A9A">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iCs w:val="0"/>
                <w:color w:val="000000"/>
                <w:kern w:val="0"/>
                <w:sz w:val="22"/>
                <w:szCs w:val="22"/>
                <w:u w:val="none"/>
                <w:lang w:val="en-US" w:eastAsia="zh-CN" w:bidi="ar"/>
              </w:rPr>
              <w:t>良好的扩展性、兼容性和集成性</w:t>
            </w: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E88A">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系统需具备良好的扩展性：</w:t>
            </w:r>
          </w:p>
        </w:tc>
      </w:tr>
      <w:tr w14:paraId="7B615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667EB">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472A">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（1）能自动适应公司组织架构或业务变化后的流程管理</w:t>
            </w:r>
          </w:p>
        </w:tc>
      </w:tr>
      <w:tr w14:paraId="47B44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5A0DF">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DBFB">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（2）能够快速实现与第三方系统的无缝集成。</w:t>
            </w:r>
          </w:p>
        </w:tc>
      </w:tr>
      <w:tr w14:paraId="4C08D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D091E">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3292">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（3）与移动端对接，实现与钉钉的审批集成</w:t>
            </w:r>
          </w:p>
        </w:tc>
      </w:tr>
      <w:tr w14:paraId="0BCCE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599E4">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9CCE">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（3）技术架构需要保证未来5-10年的发展需求。</w:t>
            </w:r>
          </w:p>
        </w:tc>
      </w:tr>
      <w:tr w14:paraId="0EE25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DDBB7">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62A7">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（4）未来的大小版本升级必须无缝实现，不能影响系统运行，尤其做了自定义开发的场景下。</w:t>
            </w:r>
          </w:p>
        </w:tc>
      </w:tr>
      <w:tr w14:paraId="677F4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A1480">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C2446">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（5）信息平台一体化，所有系统实现无缝集成，一套账户贯穿所有系统，一次登录全系统访问。</w:t>
            </w:r>
          </w:p>
        </w:tc>
      </w:tr>
      <w:tr w14:paraId="4D40C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386B4">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F037">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（6）支持越南语、西班牙语（墨西哥）、英语（美国）等语言包，满足国际会计准则。</w:t>
            </w:r>
          </w:p>
        </w:tc>
      </w:tr>
      <w:tr w14:paraId="7BBB8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388CE">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161F">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（7）能够满足未来公司向海外拓展业务的需要，对接海外国家银行、税务等。</w:t>
            </w:r>
          </w:p>
        </w:tc>
      </w:tr>
      <w:tr w14:paraId="65A68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835C3">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iCs w:val="0"/>
                <w:color w:val="000000"/>
                <w:kern w:val="0"/>
                <w:sz w:val="22"/>
                <w:szCs w:val="22"/>
                <w:u w:val="none"/>
                <w:lang w:val="en-US" w:eastAsia="zh-CN" w:bidi="ar"/>
              </w:rPr>
              <w:t>部署灵活，使用体验良好</w:t>
            </w: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BC71">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（1）能够可靠灵活地实现云端、本地或混合部署，并可无损迁移。</w:t>
            </w:r>
          </w:p>
        </w:tc>
      </w:tr>
      <w:tr w14:paraId="1E07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2AA59">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516E0">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（2）无论本地用户和远程移动用户，多用户并发情况下，响应速度不超过3秒，提高用户使用体验。</w:t>
            </w:r>
          </w:p>
        </w:tc>
      </w:tr>
      <w:tr w14:paraId="45C19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11056">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BCEAC">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Style w:val="21"/>
                <w:rFonts w:hint="eastAsia" w:asciiTheme="majorEastAsia" w:hAnsiTheme="majorEastAsia" w:eastAsiaTheme="majorEastAsia" w:cstheme="majorEastAsia"/>
                <w:lang w:val="en-US" w:eastAsia="zh-CN" w:bidi="ar"/>
              </w:rPr>
              <w:t>（3）本地部署情况下，需要提供网络与信息安全建议方案。</w:t>
            </w:r>
          </w:p>
        </w:tc>
      </w:tr>
      <w:tr w14:paraId="68E71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A52B3">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90D7">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（4）用户许可按照200个用户规划，并可随时扩展。</w:t>
            </w:r>
          </w:p>
        </w:tc>
      </w:tr>
      <w:tr w14:paraId="25275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0F2D7">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iCs w:val="0"/>
                <w:color w:val="000000"/>
                <w:kern w:val="0"/>
                <w:sz w:val="22"/>
                <w:szCs w:val="22"/>
                <w:u w:val="none"/>
                <w:lang w:val="en-US" w:eastAsia="zh-CN" w:bidi="ar"/>
              </w:rPr>
              <w:t>多组织架构支持</w:t>
            </w: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0307">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系统支持多组织架构，能够实现多组织系统下的订单、研发、采购、生产、交付、财务、质量等业务单元之间的交叉协同，提升组织效率。</w:t>
            </w:r>
          </w:p>
        </w:tc>
      </w:tr>
      <w:tr w14:paraId="031DD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E20DB">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1F84">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（1）组织间的关联交易业务能实现准确快速交付。</w:t>
            </w:r>
          </w:p>
        </w:tc>
      </w:tr>
      <w:tr w14:paraId="493EF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09AC4">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7333">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（2）支持多组织间的成本核算，内部往来核算</w:t>
            </w:r>
          </w:p>
        </w:tc>
      </w:tr>
      <w:tr w14:paraId="4A8F3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C5F7C">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54091">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Style w:val="21"/>
                <w:rFonts w:hint="eastAsia" w:asciiTheme="majorEastAsia" w:hAnsiTheme="majorEastAsia" w:eastAsiaTheme="majorEastAsia" w:cstheme="majorEastAsia"/>
                <w:lang w:val="en-US" w:eastAsia="zh-CN" w:bidi="ar"/>
              </w:rPr>
              <w:t>（3）支持组织间业务协同</w:t>
            </w:r>
          </w:p>
        </w:tc>
      </w:tr>
      <w:tr w14:paraId="7A48D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C5F46">
            <w:pPr>
              <w:ind w:left="0" w:leftChars="0" w:right="0" w:rightChars="0" w:firstLine="0" w:firstLineChars="0"/>
              <w:jc w:val="center"/>
              <w:rPr>
                <w:rFonts w:hint="eastAsia" w:asciiTheme="majorEastAsia" w:hAnsiTheme="majorEastAsia" w:eastAsiaTheme="majorEastAsia" w:cstheme="majorEastAsia"/>
                <w:i w:val="0"/>
                <w:iCs w:val="0"/>
                <w:color w:val="000000"/>
                <w:sz w:val="22"/>
                <w:szCs w:val="22"/>
                <w:u w:val="none"/>
              </w:rPr>
            </w:pP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2A8D">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Style w:val="21"/>
                <w:rFonts w:hint="eastAsia" w:asciiTheme="majorEastAsia" w:hAnsiTheme="majorEastAsia" w:eastAsiaTheme="majorEastAsia" w:cstheme="majorEastAsia"/>
                <w:lang w:val="en-US" w:eastAsia="zh-CN" w:bidi="ar"/>
              </w:rPr>
              <w:t>（4）支持集团成本还原</w:t>
            </w:r>
          </w:p>
        </w:tc>
      </w:tr>
      <w:tr w14:paraId="23389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3" w:hRule="atLeast"/>
        </w:trPr>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F38C">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sz w:val="22"/>
                <w:szCs w:val="22"/>
                <w:u w:val="none"/>
              </w:rPr>
            </w:pPr>
            <w:r>
              <w:rPr>
                <w:rFonts w:hint="eastAsia" w:asciiTheme="majorEastAsia" w:hAnsiTheme="majorEastAsia" w:eastAsiaTheme="majorEastAsia" w:cstheme="majorEastAsia"/>
                <w:i w:val="0"/>
                <w:iCs w:val="0"/>
                <w:color w:val="000000"/>
                <w:kern w:val="0"/>
                <w:sz w:val="22"/>
                <w:szCs w:val="22"/>
                <w:u w:val="none"/>
                <w:lang w:val="en-US" w:eastAsia="zh-CN" w:bidi="ar"/>
              </w:rPr>
              <w:t>财务管控</w:t>
            </w: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56DC">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系统能实现业财一体化，公司领导及相关管理人员能及时了解公司的实际经营状况，及时根据企业经营状况进行快速反应，财务深度参与业务管理，为业务绩效提供数据支撑。能够实现公司级、产品线级、业务线级和订单级4个级别的核算管理，且做到事前预警、事中控制、事后分析，使公司运营分险降到最低。</w:t>
            </w:r>
          </w:p>
        </w:tc>
      </w:tr>
      <w:tr w14:paraId="6DAEF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3" w:hRule="atLeast"/>
        </w:trPr>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15846">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内部委托加工业务</w:t>
            </w: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8838">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满足多种内部交易业务逻辑，例如成品的内部委托加工业务，部件内部委托加工业务，原材料内部调研业务等。</w:t>
            </w:r>
          </w:p>
          <w:p w14:paraId="422BAE9B">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内部委托加工业务，要求交易双方的业务单据齐全。</w:t>
            </w:r>
          </w:p>
        </w:tc>
      </w:tr>
      <w:tr w14:paraId="6018D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3" w:hRule="atLeast"/>
        </w:trPr>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2270">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工序级成本核算</w:t>
            </w: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247D">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按工序级进行成本核算，并按原始发生成本逐层卷积，针对产品的成本分析可以根据下游各工序展开；</w:t>
            </w:r>
          </w:p>
          <w:p w14:paraId="085FC165">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标准成本对比：报价做为标准成本基准，按报价有效期对应订单，与销售订单的实际成本进行分析</w:t>
            </w:r>
          </w:p>
        </w:tc>
      </w:tr>
      <w:tr w14:paraId="67D51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3" w:hRule="atLeast"/>
        </w:trPr>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921C">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计划体系</w:t>
            </w: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AC07">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预测订单要支持只计算备料（钢管），标准件（电机等），按备产提采购需求。在MRP计算时，有计划跟踪号的物料，只会供应相同计划跟踪号的需求。呆滞的专用物料，可手工释放成自由库存，MRP计算时，可优先使用自由库存，并在库存维度更新计划跟踪号，再生成MRP计划订单</w:t>
            </w:r>
          </w:p>
        </w:tc>
      </w:tr>
      <w:tr w14:paraId="6905B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3" w:hRule="atLeast"/>
        </w:trPr>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DF102">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计划变更管理</w:t>
            </w: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FE93">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预测订单与销售订单审核后不能修改，需通过订单变更单修改数量、交期等关键信息；</w:t>
            </w:r>
          </w:p>
          <w:p w14:paraId="4DC6EFE9">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已下达的生产、委外、采购的计划，生成MRP净改变分析，形成变动建议，批量或手工调整对应订单数量或交期</w:t>
            </w:r>
          </w:p>
        </w:tc>
      </w:tr>
      <w:tr w14:paraId="5CC64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3" w:hRule="atLeast"/>
        </w:trPr>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76E4">
            <w:pPr>
              <w:keepNext w:val="0"/>
              <w:keepLines w:val="0"/>
              <w:widowControl/>
              <w:suppressLineNumbers w:val="0"/>
              <w:ind w:left="0" w:leftChars="0" w:right="0" w:rightChars="0" w:firstLine="0" w:firstLineChars="0"/>
              <w:jc w:val="center"/>
              <w:textAlignment w:val="center"/>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越南工厂</w:t>
            </w:r>
          </w:p>
        </w:tc>
        <w:tc>
          <w:tcPr>
            <w:tcW w:w="5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9674">
            <w:pPr>
              <w:keepNext w:val="0"/>
              <w:keepLines w:val="0"/>
              <w:widowControl/>
              <w:suppressLineNumbers w:val="0"/>
              <w:ind w:left="0" w:leftChars="0" w:right="0" w:rightChars="0" w:firstLine="0" w:firstLineChars="0"/>
              <w:jc w:val="both"/>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越南的三柏硕工厂，通过远程实施，先建立国内管理账，所有数据要求完整，真实，随时可替换为对外报税账簿</w:t>
            </w:r>
          </w:p>
        </w:tc>
      </w:tr>
    </w:tbl>
    <w:p w14:paraId="4257C933">
      <w:pPr>
        <w:rPr>
          <w:rFonts w:hint="eastAsia" w:asciiTheme="majorEastAsia" w:hAnsiTheme="majorEastAsia" w:eastAsiaTheme="majorEastAsia" w:cstheme="majorEastAsia"/>
        </w:rPr>
      </w:pPr>
    </w:p>
    <w:p w14:paraId="12331CE1">
      <w:pPr>
        <w:pStyle w:val="3"/>
        <w:numPr>
          <w:ilvl w:val="0"/>
          <w:numId w:val="1"/>
        </w:numP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val="en-US" w:eastAsia="zh-CN"/>
        </w:rPr>
        <w:t>明细技术需求</w:t>
      </w:r>
    </w:p>
    <w:p w14:paraId="20FE67DB">
      <w:pPr>
        <w:rPr>
          <w:rFonts w:hint="eastAsia" w:asciiTheme="majorEastAsia" w:hAnsiTheme="majorEastAsia" w:eastAsiaTheme="majorEastAsia" w:cstheme="majorEastAsia"/>
          <w:b/>
          <w:bCs/>
          <w:sz w:val="24"/>
          <w:lang w:val="en-US" w:eastAsia="zh-CN"/>
        </w:rPr>
      </w:pPr>
      <w:r>
        <w:rPr>
          <w:rFonts w:hint="eastAsia" w:asciiTheme="majorEastAsia" w:hAnsiTheme="majorEastAsia" w:eastAsiaTheme="majorEastAsia" w:cstheme="majorEastAsia"/>
          <w:b/>
          <w:bCs/>
          <w:sz w:val="24"/>
          <w:lang w:val="en-US" w:eastAsia="zh-CN"/>
        </w:rPr>
        <w:t>需应答</w:t>
      </w:r>
    </w:p>
    <w:p w14:paraId="12CBBF2E">
      <w:pPr>
        <w:rPr>
          <w:rFonts w:hint="default" w:asciiTheme="majorEastAsia" w:hAnsiTheme="majorEastAsia" w:eastAsiaTheme="majorEastAsia" w:cstheme="majorEastAsia"/>
          <w:sz w:val="24"/>
          <w:lang w:val="en-US" w:eastAsia="zh-CN"/>
        </w:rPr>
      </w:pPr>
    </w:p>
    <w:tbl>
      <w:tblPr>
        <w:tblW w:w="872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161"/>
        <w:gridCol w:w="6564"/>
      </w:tblGrid>
      <w:tr w14:paraId="74F56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2161"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2F3BCAC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4"/>
                <w:szCs w:val="24"/>
                <w:u w:val="none"/>
              </w:rPr>
            </w:pPr>
            <w:r>
              <w:rPr>
                <w:rFonts w:hint="eastAsia" w:asciiTheme="majorEastAsia" w:hAnsiTheme="majorEastAsia" w:eastAsiaTheme="majorEastAsia" w:cstheme="majorEastAsia"/>
                <w:i w:val="0"/>
                <w:iCs w:val="0"/>
                <w:color w:val="000000"/>
                <w:kern w:val="0"/>
                <w:sz w:val="24"/>
                <w:szCs w:val="24"/>
                <w:u w:val="none"/>
                <w:bdr w:val="none" w:color="auto" w:sz="0" w:space="0"/>
                <w:lang w:val="en-US" w:eastAsia="zh-CN" w:bidi="ar"/>
              </w:rPr>
              <w:t>需求类别</w:t>
            </w:r>
          </w:p>
        </w:tc>
        <w:tc>
          <w:tcPr>
            <w:tcW w:w="6564"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4B559BD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4"/>
                <w:szCs w:val="24"/>
                <w:u w:val="none"/>
              </w:rPr>
            </w:pPr>
            <w:r>
              <w:rPr>
                <w:rFonts w:hint="eastAsia" w:asciiTheme="majorEastAsia" w:hAnsiTheme="majorEastAsia" w:eastAsiaTheme="majorEastAsia" w:cstheme="majorEastAsia"/>
                <w:i w:val="0"/>
                <w:iCs w:val="0"/>
                <w:color w:val="000000"/>
                <w:kern w:val="0"/>
                <w:sz w:val="24"/>
                <w:szCs w:val="24"/>
                <w:u w:val="none"/>
                <w:bdr w:val="none" w:color="auto" w:sz="0" w:space="0"/>
                <w:lang w:val="en-US" w:eastAsia="zh-CN" w:bidi="ar"/>
              </w:rPr>
              <w:t>需求描述</w:t>
            </w:r>
          </w:p>
        </w:tc>
      </w:tr>
      <w:tr w14:paraId="324D8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5E6CF61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E0BF70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预测订单可转销售订单</w:t>
            </w:r>
          </w:p>
        </w:tc>
      </w:tr>
      <w:tr w14:paraId="775A4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4B2555B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38F0752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预测订单要支持只计算备料（钢管），标准件（电机等），按备产提采购需求。在MRP计算时，有计划跟踪号的物料，只会供应相同计划跟踪号的需求。呆滞的专用物料，可手工释放成自由库存，MRP计算时，可优先使用自由库存，并在库存维度更新计划跟踪号，再生成MRP计划订单</w:t>
            </w:r>
          </w:p>
        </w:tc>
      </w:tr>
      <w:tr w14:paraId="72276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1CC190E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477F8B1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预测订单、销售订单，可分批下达总装生产订单</w:t>
            </w:r>
          </w:p>
        </w:tc>
      </w:tr>
      <w:tr w14:paraId="10460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20A637C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3854E19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MRP计算的结果，根据销售订单号+生产批次号进行追踪，对布料等物料进行需求汇总，不按照订单号跟踪</w:t>
            </w:r>
          </w:p>
        </w:tc>
      </w:tr>
      <w:tr w14:paraId="57313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1C929F3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6EC38AB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MRP需求来源，预测订单量（扣除已转销售订单，已转生产订单量），销售订单量（扣除已转生产订单量）</w:t>
            </w:r>
          </w:p>
        </w:tc>
      </w:tr>
      <w:tr w14:paraId="340A5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A7F515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6DEBB75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委外订单，有BOM断阶的，生成带料委外订单，无BOM断阶，根据工艺路线，在上道生产工序报告后，生成工序委外订单</w:t>
            </w:r>
          </w:p>
        </w:tc>
      </w:tr>
      <w:tr w14:paraId="2BE07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7649A7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48E1B49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根据生产订单进行齐套分析，缺料明细同步PMC及采购，采购部确认更新预计到货日期，反馈至缺料明细表</w:t>
            </w:r>
          </w:p>
        </w:tc>
      </w:tr>
      <w:tr w14:paraId="4126A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0762F16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5812DF1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齐套率计算，截止时间点，计算所有订单的齐套情况，并按照数量比例算计算每生产订单齐套率</w:t>
            </w:r>
          </w:p>
        </w:tc>
      </w:tr>
      <w:tr w14:paraId="35B2F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1D0D9A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4024E6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按订单查询完工情况，按订单号查询整体完工情况，按生产达成率计算完成率，可穿透查询对应跟踪号下所有采购、生产、在库的明细数据</w:t>
            </w:r>
          </w:p>
        </w:tc>
      </w:tr>
      <w:tr w14:paraId="6B4C1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33"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03BFF91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CB0004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产能负荷表查询，需要统计设备信息，进行粗能力的简单计算，根据瓶颈设备：激光切割（型号、功率），弯管（型号），机械手（型号），按照各生产任务占用的设备工时对比设备总工时，形成产能占用情况</w:t>
            </w:r>
          </w:p>
        </w:tc>
      </w:tr>
      <w:tr w14:paraId="1B7CE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6078A1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计划变更管理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33D0F0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预测订单与销售订单审核后不能修改，需通过订单变更单修改数量、交期等关键信息</w:t>
            </w:r>
          </w:p>
        </w:tc>
      </w:tr>
      <w:tr w14:paraId="36C32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F4EE2B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计划变更管理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382C983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变更后的预测订单与销售订单，再进行MRP计算，对于未下达生产、委外、采购的计划，自动删除并重新生成</w:t>
            </w:r>
          </w:p>
        </w:tc>
      </w:tr>
      <w:tr w14:paraId="77029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23431A9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计划变更管理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449C333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已下达的生产、委外、采购的计划，生成MRP净改变分析，形成变动建议，批量或手工调整对应订单数量或交期</w:t>
            </w:r>
          </w:p>
        </w:tc>
      </w:tr>
      <w:tr w14:paraId="3D0CE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26F57F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计划变更管理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DB9FD2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净改变分析的变动建议，能关联查询上游需求单据的变动原因</w:t>
            </w:r>
          </w:p>
        </w:tc>
      </w:tr>
      <w:tr w14:paraId="7E041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6E316E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设计变更管理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93F9E3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设计变更后，设计BOM有变更记录，并关联对应的多个制造BOM，形成制造BOM及工艺路线的变更任务</w:t>
            </w:r>
          </w:p>
        </w:tc>
      </w:tr>
      <w:tr w14:paraId="6E1DC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7E9E98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设计变更管理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11E27D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产品优化，版本升级，定义生效日期，新工单自动引用</w:t>
            </w:r>
          </w:p>
        </w:tc>
      </w:tr>
      <w:tr w14:paraId="3FF7B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41B5BFF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设计变更管理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4D60EA2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客户要求变更，版本升级，定义生效日期，新工单自动引用</w:t>
            </w:r>
          </w:p>
        </w:tc>
      </w:tr>
      <w:tr w14:paraId="326C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06BB507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设计变更管理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3C91964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设计错误，版本不变，直接生效，在产工单批量调整</w:t>
            </w:r>
          </w:p>
        </w:tc>
      </w:tr>
      <w:tr w14:paraId="2F339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9FAD9F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委外采购订单</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5C482C9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由销售订单生成的委外采购订单，委托海健生产，并直发客户</w:t>
            </w:r>
          </w:p>
        </w:tc>
      </w:tr>
      <w:tr w14:paraId="5A649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99EAFF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受托销售订单</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326548A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自动生成受托加工销售订单，确认与三柏硕的受托加工业务合同</w:t>
            </w:r>
          </w:p>
        </w:tc>
      </w:tr>
      <w:tr w14:paraId="0743F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5382369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受托加工生产工单</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539E0E5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确认加工工单，下达生产任务</w:t>
            </w:r>
          </w:p>
        </w:tc>
      </w:tr>
      <w:tr w14:paraId="28D3E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D91BBA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生产工单</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B80F34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根据BOM展开生产计划，锁定下达各工作中心的半成品生产工单</w:t>
            </w:r>
          </w:p>
        </w:tc>
      </w:tr>
      <w:tr w14:paraId="6A19F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A7A2DB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委托加工BOM及物料需求</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1605D5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三柏硕MRP分解委托加工的BOM，不需要自制半成品结构，只需要确认需要供应给海健的物料</w:t>
            </w:r>
          </w:p>
        </w:tc>
      </w:tr>
      <w:tr w14:paraId="172BC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F7541B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采购入库</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D1750F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三柏硕的采购订单，采购入库海健，系统自动生成三柏硕采购入库单</w:t>
            </w:r>
          </w:p>
        </w:tc>
      </w:tr>
      <w:tr w14:paraId="23FAE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45FBB3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委外发料</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4FC8DEC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海健收到直发海健的入库后，根据海健的领料情况，自动生成三柏硕的委外发料单</w:t>
            </w:r>
          </w:p>
        </w:tc>
      </w:tr>
      <w:tr w14:paraId="02352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4E6F7F7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销售出库</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5C16C6D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海健直发客户，在三柏硕操作，关联三柏硕的发货计划，运输发票等单据，自动生成海健发货给三柏硕的销售出库</w:t>
            </w:r>
          </w:p>
        </w:tc>
      </w:tr>
      <w:tr w14:paraId="2FEBA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DCD8EB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委外加工入库</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469401F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海健的完工入库，自动生成三柏硕的委外加工入库</w:t>
            </w:r>
          </w:p>
        </w:tc>
      </w:tr>
      <w:tr w14:paraId="27335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50A2B2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委外核销</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61E4EB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委外加工入库单自动或定时核销委外发料单</w:t>
            </w:r>
          </w:p>
        </w:tc>
      </w:tr>
      <w:tr w14:paraId="6BA53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4B1A28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内部交易</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A4D924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内部交易节点，筛选出三柏硕收海健委托加工入库，海健发三柏硕销售出库，获取内部委托加工费价格，生成内部应收单，内部应付单</w:t>
            </w:r>
          </w:p>
        </w:tc>
      </w:tr>
      <w:tr w14:paraId="6B88B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9FDE40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成本还原</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66361FB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按照客户销售订单，查询收入，内部还原成本，销售费用，毛利率报表，内部还原成本按照三柏硕原材料成本，海健人工成本，海健制造费用成本进行分解（可根据成本分项自定义再细分）</w:t>
            </w:r>
          </w:p>
        </w:tc>
      </w:tr>
      <w:tr w14:paraId="0B9FA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7DEBC8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219401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根据生产订单进行齐套分析，缺料明细同步PMC及采购，采购部确认更新预计到货日期，反馈至缺料明细表</w:t>
            </w: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生产数据在海健，采购数据在三柏硕，BOM不同，需要做关联查询</w:t>
            </w:r>
          </w:p>
        </w:tc>
      </w:tr>
      <w:tr w14:paraId="29FF7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2C81B6D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计划体系</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53CE88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齐套率计算，截止时间点，计算所有订单的齐套情况，并按照数量比例算计算每生产订单齐套率</w:t>
            </w: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生产数据在海健，采购数据在三柏硕，BOM不同，需要做关联查询</w:t>
            </w:r>
          </w:p>
        </w:tc>
      </w:tr>
      <w:tr w14:paraId="58062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49E668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销售管理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13827E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支持销售价格表周期定价，定价变更</w:t>
            </w:r>
          </w:p>
        </w:tc>
      </w:tr>
      <w:tr w14:paraId="17586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0900969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销售管理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CD38EC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支持出口业务管理</w:t>
            </w:r>
          </w:p>
        </w:tc>
      </w:tr>
      <w:tr w14:paraId="2227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1788011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销售管理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508D9C7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发货装箱业务跟踪，通过发货计划生成运输任务，暂估运输费用，月末结算运输费，并关联到销售订单的履约成本中，可关联查询</w:t>
            </w:r>
          </w:p>
        </w:tc>
      </w:tr>
      <w:tr w14:paraId="4D636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2C1812F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销售管理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41D85BC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支持签收单/验收单的纸质单据打印，签收动作支持上传附件</w:t>
            </w:r>
          </w:p>
        </w:tc>
      </w:tr>
      <w:tr w14:paraId="0D1D9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F5578D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销售管理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6F13B3A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其他销售费用，如海运费、关税等，支持关联到销售订单的履约成本中，可关联查询</w:t>
            </w:r>
          </w:p>
        </w:tc>
      </w:tr>
      <w:tr w14:paraId="0F9CB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0A8DB1F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8DBE98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销售订单来源生成MRP计划订单，根据销售订单号跟踪发布采购计划至供应商门户</w:t>
            </w:r>
          </w:p>
        </w:tc>
      </w:tr>
      <w:tr w14:paraId="1F8C7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53DE623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61E2070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销售订单变更后，新版MRP计划订单自动更新已发布到供应商门户的采购计划，并生成净改变提醒</w:t>
            </w:r>
          </w:p>
        </w:tc>
      </w:tr>
      <w:tr w14:paraId="7FB8E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6BD1B7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A90597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生产订单来源生成MRP计划订单，根据销售订单号+生产批次跟踪发布要货计划</w:t>
            </w:r>
          </w:p>
        </w:tc>
      </w:tr>
      <w:tr w14:paraId="6DEBC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50A4D14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F51061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生产订单变更后，新版MRP计划订单与已发布要货计划的净改变提醒，并批量调整在途订单</w:t>
            </w:r>
          </w:p>
        </w:tc>
      </w:tr>
      <w:tr w14:paraId="0C745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6A3120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B30F23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总装生产订单跟踪要货订单实际到货情况，自动预警未到货明细</w:t>
            </w:r>
          </w:p>
        </w:tc>
      </w:tr>
      <w:tr w14:paraId="46C8D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1D6A3AB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548C58B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供应商主动注册，并进行供应商准入审核</w:t>
            </w:r>
          </w:p>
        </w:tc>
      </w:tr>
      <w:tr w14:paraId="4CA54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426228E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67C158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供应商查询采购计划</w:t>
            </w:r>
          </w:p>
        </w:tc>
      </w:tr>
      <w:tr w14:paraId="14D8C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238106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5EB0621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在线询价、供应商报价，采购比价，比价结果生成采购订单或生成采购价格库（协议），</w:t>
            </w:r>
          </w:p>
        </w:tc>
      </w:tr>
      <w:tr w14:paraId="016E2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68BC7D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C17826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询价如果是新品询价，新品还没有品号，只有规格要求、图纸等信息，询价生成协议要在物料号生成后自动关联原询价信息，并生成供应商采购价格表</w:t>
            </w:r>
          </w:p>
        </w:tc>
      </w:tr>
      <w:tr w14:paraId="7B1E4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4B4BBE3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7BD87C0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询价时的图纸要求，挂附件</w:t>
            </w:r>
          </w:p>
        </w:tc>
      </w:tr>
      <w:tr w14:paraId="75ABC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5C465B0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2F707D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采购订单供应商在线确认，变更处理，订单执行跟踪查询</w:t>
            </w:r>
          </w:p>
        </w:tc>
      </w:tr>
      <w:tr w14:paraId="3668E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06BE3F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753A2FF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供应商门户支持供应商在线打印条码打印。条码支持仓库按单扫描收货，按箱扫描收货出货、</w:t>
            </w:r>
          </w:p>
        </w:tc>
      </w:tr>
      <w:tr w14:paraId="65B49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21BE642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762F30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仓库收货后，自动同步供应商门户的收货信息</w:t>
            </w:r>
          </w:p>
        </w:tc>
      </w:tr>
      <w:tr w14:paraId="05879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06276C0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D49801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供应商在线收货对账确认</w:t>
            </w:r>
          </w:p>
        </w:tc>
      </w:tr>
      <w:tr w14:paraId="45B67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0804689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63E2CC3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供应商根据对账结果开票，并上传电子发票</w:t>
            </w:r>
          </w:p>
        </w:tc>
      </w:tr>
      <w:tr w14:paraId="45096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2ADED55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3AB3EE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供应商在线查询入库信息、退货信息、对账信息、开票信息、结算信息</w:t>
            </w:r>
          </w:p>
        </w:tc>
      </w:tr>
      <w:tr w14:paraId="683CF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2D65E4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2A7CFB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订单在录入系统后，可直接打印、传真、邮件给供方，避免系统外再做一次合同及订单，减少经办人员工作量。同时要进行权限控制，避免不必要的信息泄露</w:t>
            </w: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br w:type="textWrapping"/>
            </w: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邮件发送支持按采购订单列表批量选择并发送</w:t>
            </w:r>
          </w:p>
        </w:tc>
      </w:tr>
      <w:tr w14:paraId="53C31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586F885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ADE415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采购订单发布通知能在钉钉或企业微信，发送给供应商联系消息</w:t>
            </w:r>
          </w:p>
        </w:tc>
      </w:tr>
      <w:tr w14:paraId="23E3D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602145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质检管理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3B1C89F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支持来料质检，到货通知——检验单——放行——入库</w:t>
            </w:r>
          </w:p>
        </w:tc>
      </w:tr>
      <w:tr w14:paraId="501CE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30F5C7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质检管理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AE6F23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入库后，不良处理，支持品管开罚单流程</w:t>
            </w:r>
          </w:p>
        </w:tc>
      </w:tr>
      <w:tr w14:paraId="04E2C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2346B26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质检管理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4603CE0">
            <w:pPr>
              <w:jc w:val="left"/>
              <w:rPr>
                <w:rFonts w:hint="eastAsia" w:asciiTheme="majorEastAsia" w:hAnsiTheme="majorEastAsia" w:eastAsiaTheme="majorEastAsia" w:cstheme="majorEastAsia"/>
                <w:i w:val="0"/>
                <w:iCs w:val="0"/>
                <w:color w:val="000000"/>
                <w:sz w:val="21"/>
                <w:szCs w:val="21"/>
                <w:u w:val="none"/>
              </w:rPr>
            </w:pPr>
          </w:p>
        </w:tc>
      </w:tr>
      <w:tr w14:paraId="15618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53C42DC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质检管理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42A871C8">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支持成品入库质检，成品入库——检验单——放行——入库</w:t>
            </w:r>
          </w:p>
        </w:tc>
      </w:tr>
      <w:tr w14:paraId="151DA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5C27E73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库存管理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63757E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根据领料申请备料进行发料，可按班组、仓库等，自动拆单，生成领料单</w:t>
            </w:r>
          </w:p>
        </w:tc>
      </w:tr>
      <w:tr w14:paraId="55579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CB91A7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库存管理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F066699">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支持批次管理（包含入库、出库、统计、追溯跟踪等）和有效期管理</w:t>
            </w:r>
          </w:p>
        </w:tc>
      </w:tr>
      <w:tr w14:paraId="1529C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5AD94F3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库存管理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315D5B4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支持调拨和倒冲管理</w:t>
            </w:r>
          </w:p>
        </w:tc>
      </w:tr>
      <w:tr w14:paraId="11314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550B5E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库存管理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72C1356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支持库内组装与拆卸</w:t>
            </w:r>
          </w:p>
        </w:tc>
      </w:tr>
      <w:tr w14:paraId="72214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4593311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库存管理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9DCB2A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支持组织间的调拨，可以根据计划、采购单进行入库，并对调拨入库进行统计分析、核算</w:t>
            </w:r>
          </w:p>
        </w:tc>
      </w:tr>
      <w:tr w14:paraId="14D67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44A45B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库存管理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5D7725A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支持按自然月和指定日期关账</w:t>
            </w:r>
          </w:p>
        </w:tc>
      </w:tr>
      <w:tr w14:paraId="46C8A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124BE1E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库存管理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5E0F18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反关账要经过审批流程，避免账物出现异常</w:t>
            </w:r>
          </w:p>
        </w:tc>
      </w:tr>
      <w:tr w14:paraId="2573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7168211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库存管理</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7E1FE0A1">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支持预定盘点作业计划，并能提前给相关人员进行提醒</w:t>
            </w:r>
          </w:p>
        </w:tc>
      </w:tr>
      <w:tr w14:paraId="714E5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D0ED4F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集团财务核算</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73C6803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主数据管理，财务主数据（例如：客户、供应商、部门、人员、银行账号登）进行全集团统一管理，通过分发形式下发给下属企业使用。</w:t>
            </w:r>
          </w:p>
        </w:tc>
      </w:tr>
      <w:tr w14:paraId="75DBC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1209249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集团财务核算</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0BC516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目管控，集团统一科目体系下，分级科目控制，可控制下级单位的科目权限，根据各公司行业，分配可使用权限。</w:t>
            </w:r>
          </w:p>
        </w:tc>
      </w:tr>
      <w:tr w14:paraId="09ECC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4454EEE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集团财务核算</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6769AD6C">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科目辅助核算管控，可根据集团统一要求设置辅助核算，可控制下级单位的科目辅助核算设置。</w:t>
            </w:r>
          </w:p>
        </w:tc>
      </w:tr>
      <w:tr w14:paraId="08BBB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263F3F0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集团财务核算</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750D9CB3">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支持多账簿核算，境外公司可设置人民币账簿，外币账簿，并支持账簿折算转换。</w:t>
            </w:r>
          </w:p>
        </w:tc>
      </w:tr>
      <w:tr w14:paraId="3DCA2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463159A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集团财务核算</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352E1C0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支持多账簿查询，汇总查询集团各分子公司账簿，并可以穿刺查询下级账簿数据。</w:t>
            </w:r>
          </w:p>
        </w:tc>
      </w:tr>
      <w:tr w14:paraId="7DF4A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872439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集团财务核算</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107CF0F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科目查询支持按辅助核算二维展示，并支持自定义的调整，可根据辅助核算例如部门，按照不同级次的部门进行汇总查询</w:t>
            </w:r>
          </w:p>
        </w:tc>
      </w:tr>
      <w:tr w14:paraId="5A19B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00B39AB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自动会计</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18A511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所有财务相关业务单据，可配置凭证模板，自动生成财务凭证。</w:t>
            </w:r>
          </w:p>
        </w:tc>
      </w:tr>
      <w:tr w14:paraId="044F6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34ACB3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自动会计</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5B1461C6">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支持定义合并规则，按照业务凭证汇总生成财务凭证。</w:t>
            </w:r>
          </w:p>
        </w:tc>
      </w:tr>
      <w:tr w14:paraId="03C4D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C44E36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自动会计</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156C6E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支持定义业务单据对应业务凭证与财务凭证对账规则，月末业财对账，控制对账平衡后月结，并快速查找差异</w:t>
            </w:r>
          </w:p>
        </w:tc>
      </w:tr>
      <w:tr w14:paraId="7A8F3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563683E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成本核算</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30A1159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支持按产品线自定义成本中心，按成本中心获取直接成本（直接材料、直接人工、直接设备折旧、直接其他各项费用），并按生产订单级别权重，分配成本</w:t>
            </w:r>
          </w:p>
        </w:tc>
      </w:tr>
      <w:tr w14:paraId="377CC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1F6CAA8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成本核算</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44BEB7A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支持定义公共费用分摊规则，公共费用按生产订单级别权重，分配成本</w:t>
            </w:r>
          </w:p>
        </w:tc>
      </w:tr>
      <w:tr w14:paraId="67B69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6B945B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成本核算</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274A16E4">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支持按工序、作业定义成本分项，支持按成本分项进行成本卷积</w:t>
            </w:r>
          </w:p>
        </w:tc>
      </w:tr>
      <w:tr w14:paraId="44AA1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04A0631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成本核算</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789116C5">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支持按产品线汇总，按销售订单汇总，按生产订单汇总的成本分析查询报表</w:t>
            </w:r>
          </w:p>
        </w:tc>
      </w:tr>
      <w:tr w14:paraId="07D38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0EB95BFB">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新收入会计准则</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691D2232">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销售出库，按照发出商品记账</w:t>
            </w:r>
          </w:p>
        </w:tc>
      </w:tr>
      <w:tr w14:paraId="0D882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3126204E">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新收入会计准则</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168D1AF">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签收\验收单确认后，自动生成应收单，确认收入</w:t>
            </w:r>
          </w:p>
        </w:tc>
      </w:tr>
      <w:tr w14:paraId="0AB3C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EEF4A60">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新收入会计准则</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609CA337">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应收单生成税务发票，发票节点生成调整应收及销项税冲抵凭证</w:t>
            </w:r>
          </w:p>
        </w:tc>
      </w:tr>
      <w:tr w14:paraId="33DED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2161" w:type="dxa"/>
            <w:tcBorders>
              <w:top w:val="single" w:color="000000" w:sz="4" w:space="0"/>
              <w:left w:val="single" w:color="000000" w:sz="4" w:space="0"/>
              <w:bottom w:val="single" w:color="000000" w:sz="4" w:space="0"/>
              <w:right w:val="single" w:color="000000" w:sz="4" w:space="0"/>
            </w:tcBorders>
            <w:shd w:val="clear"/>
            <w:vAlign w:val="center"/>
          </w:tcPr>
          <w:p w14:paraId="6DC7759A">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新收入会计准则</w:t>
            </w:r>
          </w:p>
        </w:tc>
        <w:tc>
          <w:tcPr>
            <w:tcW w:w="6564" w:type="dxa"/>
            <w:tcBorders>
              <w:top w:val="single" w:color="000000" w:sz="4" w:space="0"/>
              <w:left w:val="single" w:color="000000" w:sz="4" w:space="0"/>
              <w:bottom w:val="single" w:color="000000" w:sz="4" w:space="0"/>
              <w:right w:val="single" w:color="000000" w:sz="4" w:space="0"/>
            </w:tcBorders>
            <w:shd w:val="clear"/>
            <w:vAlign w:val="center"/>
          </w:tcPr>
          <w:p w14:paraId="020358DD">
            <w:pPr>
              <w:keepNext w:val="0"/>
              <w:keepLines w:val="0"/>
              <w:widowControl/>
              <w:suppressLineNumbers w:val="0"/>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税务发票在实际开票后，如果有税差，税差单据生成调整收入凭证</w:t>
            </w:r>
          </w:p>
        </w:tc>
      </w:tr>
    </w:tbl>
    <w:p w14:paraId="4D7C8BFE">
      <w:pPr>
        <w:rPr>
          <w:rFonts w:hint="eastAsia" w:asciiTheme="majorEastAsia" w:hAnsiTheme="majorEastAsia" w:eastAsiaTheme="majorEastAsia" w:cstheme="majorEastAsia"/>
        </w:rPr>
      </w:pPr>
    </w:p>
    <w:p w14:paraId="6AB7A82F">
      <w:pPr>
        <w:pStyle w:val="3"/>
        <w:numPr>
          <w:ilvl w:val="0"/>
          <w:numId w:val="1"/>
        </w:numP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知识产权</w:t>
      </w:r>
    </w:p>
    <w:p w14:paraId="6E3C46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投标方承诺,本项目实施过程中的相关输出物及根据招标方定制开发产生的源代码全部无偿移交给招标方，知识产权归招标方所有。</w:t>
      </w:r>
    </w:p>
    <w:p w14:paraId="3D9FAF3A">
      <w:pPr>
        <w:spacing w:line="360" w:lineRule="auto"/>
        <w:ind w:firstLine="48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投标人须对本项目的需求报告、业务要件、业务测试数据等资料保密，在没有得到用户授权的情况下，保证不用于与本系统无关的应用。</w:t>
      </w:r>
    </w:p>
    <w:p w14:paraId="0D9C4F85">
      <w:pPr>
        <w:spacing w:line="360" w:lineRule="auto"/>
        <w:ind w:firstLine="48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该项目所有基于用户要求定制开发的软件、文档、版权都归用户所有。</w:t>
      </w:r>
    </w:p>
    <w:p w14:paraId="25F6D9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rPr>
      </w:pPr>
    </w:p>
    <w:p w14:paraId="4CD98A41">
      <w:pPr>
        <w:pStyle w:val="3"/>
        <w:numPr>
          <w:ilvl w:val="0"/>
          <w:numId w:val="1"/>
        </w:numP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项目实施的要求</w:t>
      </w:r>
    </w:p>
    <w:p w14:paraId="1E51E8F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项目实施方法论</w:t>
      </w:r>
    </w:p>
    <w:p w14:paraId="2B3F1A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投标人须详细陈述项目实施方法论，需要描述其项目管理的方法、项目组配置、质量管理和文档管理方案, 投标人需提供项目实施方法论的正式书面材料，供需双方共同确认可。</w:t>
      </w:r>
    </w:p>
    <w:p w14:paraId="0325B64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质量保证</w:t>
      </w:r>
    </w:p>
    <w:p w14:paraId="1EADEB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投标书应详细描述为保证系统实施质量所应承担的质量保证方案。</w:t>
      </w:r>
    </w:p>
    <w:p w14:paraId="2A4648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投标书应提供本项目上线后系统推广及切换的方案。</w:t>
      </w:r>
    </w:p>
    <w:p w14:paraId="10D8A3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标书应提供对项目验收后质保服务方案。</w:t>
      </w:r>
    </w:p>
    <w:p w14:paraId="155F2FD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项目实施团队</w:t>
      </w:r>
    </w:p>
    <w:p w14:paraId="525F4B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投标人须在建议书中详细陈述其在类似领域技术创新和实施的能力，阐述对于本实施项目的特点的理解以及适用的技术和方法论，对项目理解、计划、和组织的能力。本项目实施人员不能低于</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rPr>
        <w:t>人，其在项目实施协调、需提供以上人员的详细资料及项目组主要成员的背景资料，必要时，需要经过用户面试通过。实施时须保证项目经理和主要成员与标书一致，若有变化需征得用户同意。</w:t>
      </w:r>
    </w:p>
    <w:p w14:paraId="0571A1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拟安排的 ERP 项目成员，如果在实施过程中，能力不能满足用户 ERP 项目的要求，用户有权更换项目组成员。</w:t>
      </w:r>
    </w:p>
    <w:p w14:paraId="7DAD5B4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交付文档</w:t>
      </w:r>
    </w:p>
    <w:p w14:paraId="0629B1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投标人在完成技术标书所描述的工作内容后，作为可评测的工作成果之一，须在投标书中列明项目最终交付件清单。文档清单如下（包含但不限于）：</w:t>
      </w:r>
    </w:p>
    <w:p w14:paraId="517B15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（1）项目启动阶段</w:t>
      </w:r>
    </w:p>
    <w:p w14:paraId="3EE637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项目计划</w:t>
      </w:r>
    </w:p>
    <w:p w14:paraId="392402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调研计划</w:t>
      </w:r>
    </w:p>
    <w:p w14:paraId="41859C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需求调研文档</w:t>
      </w:r>
    </w:p>
    <w:p w14:paraId="4BACEB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（2）方案设计阶段</w:t>
      </w:r>
    </w:p>
    <w:p w14:paraId="7779E5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差异分析报告、需求评审报告</w:t>
      </w:r>
    </w:p>
    <w:p w14:paraId="30F025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二次开发需求清单</w:t>
      </w:r>
    </w:p>
    <w:p w14:paraId="2C40F8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（3）系统实现阶段</w:t>
      </w:r>
    </w:p>
    <w:p w14:paraId="013B81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系统配置类文档</w:t>
      </w:r>
    </w:p>
    <w:p w14:paraId="42532E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开发功能说明书</w:t>
      </w:r>
    </w:p>
    <w:p w14:paraId="107A11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（4）系统测试阶段</w:t>
      </w:r>
    </w:p>
    <w:p w14:paraId="1176CC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单元测试报告</w:t>
      </w:r>
    </w:p>
    <w:p w14:paraId="7EB201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集成测试脚本</w:t>
      </w:r>
    </w:p>
    <w:p w14:paraId="30E1C9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（5）集成测试报告</w:t>
      </w:r>
    </w:p>
    <w:p w14:paraId="346AFF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用户测试阶段</w:t>
      </w:r>
    </w:p>
    <w:p w14:paraId="25C909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用户测试计划、用户测试用例</w:t>
      </w:r>
    </w:p>
    <w:p w14:paraId="3C299B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用户测试报告</w:t>
      </w:r>
    </w:p>
    <w:p w14:paraId="3AE10F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最终培训计划、最终用户操作手册</w:t>
      </w:r>
    </w:p>
    <w:p w14:paraId="12C270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（6）系统上线</w:t>
      </w:r>
    </w:p>
    <w:p w14:paraId="7F74D7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新旧系统切换及数据迁移策略</w:t>
      </w:r>
    </w:p>
    <w:p w14:paraId="294266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上线报告</w:t>
      </w:r>
    </w:p>
    <w:p w14:paraId="28AE17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（7）项目验收阶段</w:t>
      </w:r>
    </w:p>
    <w:p w14:paraId="01A035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项目验收报告</w:t>
      </w:r>
    </w:p>
    <w:p w14:paraId="6A8A67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项目风险控制</w:t>
      </w:r>
    </w:p>
    <w:p w14:paraId="42CD86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投标人须详细陈述对于项目实施过程的不同阶段，如业务变更、技术升级、方案改进、数据切换、系统运行等过程中的风险进行预估，提出风险识别、评估、控制的方法论和策略。</w:t>
      </w:r>
    </w:p>
    <w:p w14:paraId="43076B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项目培训及知识转移</w:t>
      </w:r>
    </w:p>
    <w:p w14:paraId="254D847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技术培训</w:t>
      </w:r>
    </w:p>
    <w:p w14:paraId="352B81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投标人将对 ERP 系统运维技术人员进行系统维护管理培训。培训内容根据接口、扩展、系统管理维护、配置、备份、恢复、安全管理、用户操作训练、常见问题处理方法等方面进行。</w:t>
      </w:r>
    </w:p>
    <w:p w14:paraId="2F1D18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对象：培训对象由项目组提供。</w:t>
      </w:r>
    </w:p>
    <w:p w14:paraId="4D1A6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时间：根据项目进度双方协商。</w:t>
      </w:r>
    </w:p>
    <w:p w14:paraId="085FA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其它：投标人负责编制、提供培训教材。</w:t>
      </w:r>
    </w:p>
    <w:p w14:paraId="248A0F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培训效果：ERP 系统运维技术人员独立完成相应的技术工作。</w:t>
      </w:r>
    </w:p>
    <w:p w14:paraId="334D0A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初级培训：按招标人确定的各类人员及数量分别对这些人员进行使用软件功能的培训，某一类人员应掌握的软件功能由招标人确定。</w:t>
      </w:r>
    </w:p>
    <w:p w14:paraId="46E7FA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高级培训：对系统管理员进行培训，使其能够熟练的使用该软件的各项功能，能够实现对软件的安装、配置和维护，并能解决软件系统日常应用中常见的问题。</w:t>
      </w:r>
    </w:p>
    <w:p w14:paraId="2BB760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二次开发培训：对开发人员进行培训，使其能够完成本项目中所有开发代码的维护以及变更。</w:t>
      </w:r>
    </w:p>
    <w:p w14:paraId="596944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使用培训</w:t>
      </w:r>
    </w:p>
    <w:p w14:paraId="297841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投标人对 ERP 系统的最终业务用户进行培训，保证用户掌握软件的使用。采用讲解与实际操作演示相结合的方式，使用户在理论及实践上完成从感知到认知的过程，培训内容包括程序整体介绍、处理流程、处理方法、系统使用等方面。</w:t>
      </w:r>
    </w:p>
    <w:p w14:paraId="0351CA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对象：培训对象由项目组提供。</w:t>
      </w:r>
    </w:p>
    <w:p w14:paraId="0EC4D2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时间：根据项目进度双方协商。</w:t>
      </w:r>
    </w:p>
    <w:p w14:paraId="6D6A77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教材培训效果：受培训业务人员在培训后能熟练业务操作，并达到可以培训其他人的能力。</w:t>
      </w:r>
    </w:p>
    <w:p w14:paraId="6312ED5A">
      <w:pPr>
        <w:pStyle w:val="3"/>
        <w:numPr>
          <w:ilvl w:val="0"/>
          <w:numId w:val="1"/>
        </w:numP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项目验收</w:t>
      </w:r>
      <w:r>
        <w:rPr>
          <w:rFonts w:hint="eastAsia" w:asciiTheme="majorEastAsia" w:hAnsiTheme="majorEastAsia" w:eastAsiaTheme="majorEastAsia" w:cstheme="majorEastAsia"/>
          <w:sz w:val="24"/>
          <w:lang w:val="en-US" w:eastAsia="zh-CN"/>
        </w:rPr>
        <w:t>要求</w:t>
      </w:r>
    </w:p>
    <w:p w14:paraId="7BB18ADA">
      <w:pPr>
        <w:keepNext w:val="0"/>
        <w:keepLines w:val="0"/>
        <w:pageBreakBefore w:val="0"/>
        <w:widowControl w:val="0"/>
        <w:kinsoku/>
        <w:wordWrap/>
        <w:overflowPunct/>
        <w:topLinePunct w:val="0"/>
        <w:autoSpaceDE/>
        <w:autoSpaceDN/>
        <w:bidi w:val="0"/>
        <w:adjustRightInd/>
        <w:snapToGrid/>
        <w:spacing w:line="360" w:lineRule="auto"/>
        <w:ind w:firstLine="921" w:firstLineChars="384"/>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投标人提供项目具体验收方案，包括但不限于以下内容：</w:t>
      </w:r>
    </w:p>
    <w:p w14:paraId="442638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验收要求</w:t>
      </w:r>
    </w:p>
    <w:p w14:paraId="499865DA">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项目各里程碑相应的交付物以书面形式正式交由用户签署确认后，用户即可签署相对应里程碑的“阶段确认书”即完成阶段验收；所有里程碑对应的阶段确认书签署后，完成技术规格书或实施方案及实施计划中规定的内容后，由甲乙双方共同组织相关人员采用会议和现场演示形式对项目进行评审、验收，通过验收后由双方签字认可。</w:t>
      </w:r>
    </w:p>
    <w:p w14:paraId="065BBD6D">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实施商须在可供验收之日前提前至少 5 个工作日发出通知。</w:t>
      </w:r>
    </w:p>
    <w:p w14:paraId="728215C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验收内容</w:t>
      </w:r>
    </w:p>
    <w:p w14:paraId="0DCFEF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本项目功能验收：整个项目按照用户技术规格书提出的实施要求，按双方签订的技术规格书所明确的事项内容对各个功能模块进行逐项验收。</w:t>
      </w:r>
    </w:p>
    <w:p w14:paraId="55DA37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文档验收：按技术规格书要求，对投标人产品相关技术文档、知识产权证书、用户操作手册等方面进行验收。</w:t>
      </w:r>
    </w:p>
    <w:p w14:paraId="7BE667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培训验收：按技术规格书要求，对项目过程记录、培训效果报告等方面进行验收。</w:t>
      </w:r>
    </w:p>
    <w:p w14:paraId="3A2B65A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验收记录</w:t>
      </w:r>
    </w:p>
    <w:p w14:paraId="24B79B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项目合同签定后一个月内，由实施商提供行业内专家认可的验收标准和验收计划并通过需方书面认可。验收计划包含验收模块（每个验收模块说明它的目标）的验收规格说明。须提供与验收模块相关的所有结果，包括在验收期间出现的失败记录。</w:t>
      </w:r>
    </w:p>
    <w:p w14:paraId="711486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验收报告内容:</w:t>
      </w:r>
    </w:p>
    <w:p w14:paraId="3D7E740B">
      <w:pPr>
        <w:keepNext w:val="0"/>
        <w:keepLines w:val="0"/>
        <w:pageBreakBefore w:val="0"/>
        <w:widowControl w:val="0"/>
        <w:kinsoku/>
        <w:wordWrap/>
        <w:overflowPunct/>
        <w:topLinePunct w:val="0"/>
        <w:autoSpaceDE/>
        <w:autoSpaceDN/>
        <w:bidi w:val="0"/>
        <w:adjustRightInd/>
        <w:snapToGrid/>
        <w:spacing w:line="360" w:lineRule="auto"/>
        <w:ind w:firstLine="441" w:firstLineChars="184"/>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a)验收使用的文档及其标识。</w:t>
      </w:r>
    </w:p>
    <w:p w14:paraId="7589F8FE">
      <w:pPr>
        <w:keepNext w:val="0"/>
        <w:keepLines w:val="0"/>
        <w:pageBreakBefore w:val="0"/>
        <w:widowControl w:val="0"/>
        <w:kinsoku/>
        <w:wordWrap/>
        <w:overflowPunct/>
        <w:topLinePunct w:val="0"/>
        <w:autoSpaceDE/>
        <w:autoSpaceDN/>
        <w:bidi w:val="0"/>
        <w:adjustRightInd/>
        <w:snapToGrid/>
        <w:spacing w:line="360" w:lineRule="auto"/>
        <w:ind w:firstLine="478"/>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b)与要求不符的清单，以及未作验收部分的清单与说明。</w:t>
      </w:r>
    </w:p>
    <w:p w14:paraId="49223D5B">
      <w:pPr>
        <w:keepNext w:val="0"/>
        <w:keepLines w:val="0"/>
        <w:pageBreakBefore w:val="0"/>
        <w:widowControl w:val="0"/>
        <w:kinsoku/>
        <w:wordWrap/>
        <w:overflowPunct/>
        <w:topLinePunct w:val="0"/>
        <w:autoSpaceDE/>
        <w:autoSpaceDN/>
        <w:bidi w:val="0"/>
        <w:adjustRightInd/>
        <w:snapToGrid/>
        <w:spacing w:line="360" w:lineRule="auto"/>
        <w:ind w:firstLine="478"/>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c)针对建议的要求不符的清单，或者是不遵循建议要求的清单，或者针对建议要求产品未做符合性验收的说明。</w:t>
      </w:r>
    </w:p>
    <w:p w14:paraId="45A0C795">
      <w:pPr>
        <w:keepNext w:val="0"/>
        <w:keepLines w:val="0"/>
        <w:pageBreakBefore w:val="0"/>
        <w:widowControl w:val="0"/>
        <w:kinsoku/>
        <w:wordWrap/>
        <w:overflowPunct/>
        <w:topLinePunct w:val="0"/>
        <w:autoSpaceDE/>
        <w:autoSpaceDN/>
        <w:bidi w:val="0"/>
        <w:adjustRightInd/>
        <w:snapToGrid/>
        <w:spacing w:line="360" w:lineRule="auto"/>
        <w:ind w:firstLine="478"/>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d)验收参与人员，开始、结束日期，审批签章。</w:t>
      </w:r>
    </w:p>
    <w:p w14:paraId="2F83840C">
      <w:pPr>
        <w:keepNext w:val="0"/>
        <w:keepLines w:val="0"/>
        <w:pageBreakBefore w:val="0"/>
        <w:widowControl w:val="0"/>
        <w:kinsoku/>
        <w:wordWrap/>
        <w:overflowPunct/>
        <w:topLinePunct w:val="0"/>
        <w:autoSpaceDE/>
        <w:autoSpaceDN/>
        <w:bidi w:val="0"/>
        <w:adjustRightInd/>
        <w:snapToGrid/>
        <w:spacing w:line="360" w:lineRule="auto"/>
        <w:ind w:firstLine="478"/>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e)项目结论（综合评价）。</w:t>
      </w:r>
    </w:p>
    <w:p w14:paraId="7374ADE2">
      <w:pPr>
        <w:pStyle w:val="3"/>
        <w:numPr>
          <w:ilvl w:val="0"/>
          <w:numId w:val="1"/>
        </w:numP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售后服务要求</w:t>
      </w:r>
    </w:p>
    <w:p w14:paraId="5019E42F">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投标人提供自本项目</w:t>
      </w:r>
      <w:r>
        <w:rPr>
          <w:rFonts w:hint="eastAsia" w:asciiTheme="majorEastAsia" w:hAnsiTheme="majorEastAsia" w:eastAsiaTheme="majorEastAsia" w:cstheme="majorEastAsia"/>
          <w:sz w:val="24"/>
          <w:szCs w:val="24"/>
          <w:highlight w:val="none"/>
        </w:rPr>
        <w:t>验收完成之日起为期 12 个月的免费质保服务。</w:t>
      </w:r>
    </w:p>
    <w:p w14:paraId="44282E36">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项目整体验收合格后，在免费维护期内，投标人为招标人提供不少于 25 天现场免费培训服务。</w:t>
      </w:r>
    </w:p>
    <w:p w14:paraId="2705EC44">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投标人负责在该软件正式上线之前为系统建立运行、维护体制，并得到认可。</w:t>
      </w:r>
    </w:p>
    <w:p w14:paraId="3B318DC4">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对于软件存在的缺陷自验收完成之日开始，供应商终身无条件免费修复，由此引起的相关费用由投标人承担。</w:t>
      </w:r>
    </w:p>
    <w:p w14:paraId="5E39A9FD">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在合同约定的维护期限内，对系统出现故障，投标人不得以各种理由推托，在技术服务期间内，技术服务做到 1 小时响应，24 小时解决问题，如果用户要求须到现场，12 小时内须到现场，且长期提供 E-mail、传真、电话等形式的在线服务，随时响应有关技术问题的解答。</w:t>
      </w:r>
    </w:p>
    <w:p w14:paraId="0C88D67A">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投标人需在标书中明确体现出针对本项目正式运行后服务期内的服务目录，服务目录中的内容须包含但不限于以下内容，见表１：</w:t>
      </w:r>
    </w:p>
    <w:p w14:paraId="36563A92">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表１售后服务目录</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71"/>
        <w:gridCol w:w="2117"/>
        <w:gridCol w:w="2117"/>
        <w:gridCol w:w="2117"/>
      </w:tblGrid>
      <w:tr w14:paraId="0E25E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trPr>
        <w:tc>
          <w:tcPr>
            <w:tcW w:w="2614" w:type="dxa"/>
          </w:tcPr>
          <w:p w14:paraId="0F460A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服务类型</w:t>
            </w:r>
          </w:p>
        </w:tc>
        <w:tc>
          <w:tcPr>
            <w:tcW w:w="2614" w:type="dxa"/>
          </w:tcPr>
          <w:p w14:paraId="7BF8354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服务项目</w:t>
            </w:r>
          </w:p>
        </w:tc>
        <w:tc>
          <w:tcPr>
            <w:tcW w:w="2614" w:type="dxa"/>
          </w:tcPr>
          <w:p w14:paraId="22DC4E8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服务响应时间承诺</w:t>
            </w:r>
          </w:p>
        </w:tc>
        <w:tc>
          <w:tcPr>
            <w:tcW w:w="2614" w:type="dxa"/>
          </w:tcPr>
          <w:p w14:paraId="4DF8EA2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服务完成时间承诺</w:t>
            </w:r>
          </w:p>
        </w:tc>
      </w:tr>
      <w:tr w14:paraId="786B3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14" w:type="dxa"/>
          </w:tcPr>
          <w:p w14:paraId="5752C9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现场、远程、巡检、电话</w:t>
            </w:r>
          </w:p>
        </w:tc>
        <w:tc>
          <w:tcPr>
            <w:tcW w:w="2614" w:type="dxa"/>
          </w:tcPr>
          <w:p w14:paraId="3ACF4E4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sz w:val="24"/>
                <w:szCs w:val="24"/>
              </w:rPr>
            </w:pPr>
          </w:p>
        </w:tc>
        <w:tc>
          <w:tcPr>
            <w:tcW w:w="2614" w:type="dxa"/>
          </w:tcPr>
          <w:p w14:paraId="7266A7C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sz w:val="24"/>
                <w:szCs w:val="24"/>
              </w:rPr>
            </w:pPr>
          </w:p>
        </w:tc>
        <w:tc>
          <w:tcPr>
            <w:tcW w:w="2614" w:type="dxa"/>
          </w:tcPr>
          <w:p w14:paraId="219EE00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ajorEastAsia" w:hAnsiTheme="majorEastAsia" w:eastAsiaTheme="majorEastAsia" w:cstheme="majorEastAsia"/>
                <w:sz w:val="24"/>
                <w:szCs w:val="24"/>
              </w:rPr>
            </w:pPr>
          </w:p>
        </w:tc>
      </w:tr>
    </w:tbl>
    <w:p w14:paraId="759E7D0A">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Theme="majorEastAsia" w:hAnsiTheme="majorEastAsia" w:eastAsiaTheme="majorEastAsia" w:cstheme="majorEastAsia"/>
          <w:sz w:val="24"/>
          <w:szCs w:val="24"/>
        </w:rPr>
      </w:pPr>
    </w:p>
    <w:p w14:paraId="57F1FC9E">
      <w:pPr>
        <w:pStyle w:val="3"/>
        <w:numPr>
          <w:ilvl w:val="0"/>
          <w:numId w:val="1"/>
        </w:numP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保密要求</w:t>
      </w:r>
    </w:p>
    <w:p w14:paraId="19E57353">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投标人需对服务过程中所接触的技术、生产、经营、管理等资料进行保密，不得向第三方透露，双方在项目实施前，需进行保密事项约定，并签订保密协议。</w:t>
      </w:r>
    </w:p>
    <w:p w14:paraId="2FEAD931">
      <w:pPr>
        <w:rPr>
          <w:rFonts w:hint="eastAsia" w:asciiTheme="majorEastAsia" w:hAnsiTheme="majorEastAsia" w:eastAsiaTheme="majorEastAsia" w:cstheme="majorEastAsia"/>
          <w:sz w:val="24"/>
        </w:rPr>
      </w:pPr>
    </w:p>
    <w:p w14:paraId="2C230281">
      <w:pPr>
        <w:rPr>
          <w:rFonts w:hint="eastAsia" w:asciiTheme="majorEastAsia" w:hAnsiTheme="majorEastAsia" w:eastAsiaTheme="majorEastAsia" w:cstheme="majorEastAsia"/>
          <w:sz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56EFE">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3699510</wp:posOffset>
              </wp:positionH>
              <wp:positionV relativeFrom="page">
                <wp:posOffset>10326370</wp:posOffset>
              </wp:positionV>
              <wp:extent cx="166370" cy="1397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66370" cy="139700"/>
                      </a:xfrm>
                      <a:prstGeom prst="rect">
                        <a:avLst/>
                      </a:prstGeom>
                      <a:noFill/>
                      <a:ln>
                        <a:noFill/>
                      </a:ln>
                    </wps:spPr>
                    <wps:txbx>
                      <w:txbxContent>
                        <w:p w14:paraId="7FD2E71F">
                          <w:pPr>
                            <w:spacing w:line="204" w:lineRule="exact"/>
                            <w:ind w:left="40"/>
                            <w:rPr>
                              <w:rFonts w:ascii="Times New Roman" w:hAnsi="Times New Roman" w:eastAsia="Times New Roman" w:cs="Times New Roman"/>
                              <w:sz w:val="18"/>
                              <w:szCs w:val="18"/>
                            </w:rPr>
                          </w:pPr>
                          <w:r>
                            <w:fldChar w:fldCharType="begin"/>
                          </w:r>
                          <w:r>
                            <w:rPr>
                              <w:rFonts w:ascii="Times New Roman"/>
                              <w:sz w:val="18"/>
                            </w:rPr>
                            <w:instrText xml:space="preserve"> PAGE </w:instrText>
                          </w:r>
                          <w:r>
                            <w:fldChar w:fldCharType="separate"/>
                          </w:r>
                          <w:r>
                            <w:rPr>
                              <w:rFonts w:ascii="Times New Roman"/>
                              <w:sz w:val="18"/>
                            </w:rPr>
                            <w:t>35</w:t>
                          </w:r>
                          <w:r>
                            <w:fldChar w:fldCharType="end"/>
                          </w:r>
                        </w:p>
                      </w:txbxContent>
                    </wps:txbx>
                    <wps:bodyPr lIns="0" tIns="0" rIns="0" bIns="0" upright="1"/>
                  </wps:wsp>
                </a:graphicData>
              </a:graphic>
            </wp:anchor>
          </w:drawing>
        </mc:Choice>
        <mc:Fallback>
          <w:pict>
            <v:shape id="文本框 1" o:spid="_x0000_s1026" o:spt="202" type="#_x0000_t202" style="position:absolute;left:0pt;margin-left:291.3pt;margin-top:813.1pt;height:11pt;width:13.1pt;mso-position-horizontal-relative:page;mso-position-vertical-relative:page;z-index:-251657216;mso-width-relative:page;mso-height-relative:page;" filled="f" stroked="f" coordsize="21600,21600" o:gfxdata="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3vpovZAAAADQEAAA8AAAAAAAAAAQAgAAAAIgAAAGRycy9kb3ducmV2LnhtbFBLAQIU&#10;ABQAAAAIAIdO4kB56zm4uQEAAHEDAAAOAAAAAAAAAAEAIAAAACgBAABkcnMvZTJvRG9jLnhtbFBL&#10;BQYAAAAABgAGAFkBAABTBQAAAAA=&#10;">
              <v:fill on="f" focussize="0,0"/>
              <v:stroke on="f"/>
              <v:imagedata o:title=""/>
              <o:lock v:ext="edit" aspectratio="f"/>
              <v:textbox inset="0mm,0mm,0mm,0mm">
                <w:txbxContent>
                  <w:p w14:paraId="7FD2E71F">
                    <w:pPr>
                      <w:spacing w:line="204" w:lineRule="exact"/>
                      <w:ind w:left="40"/>
                      <w:rPr>
                        <w:rFonts w:ascii="Times New Roman" w:hAnsi="Times New Roman" w:eastAsia="Times New Roman" w:cs="Times New Roman"/>
                        <w:sz w:val="18"/>
                        <w:szCs w:val="18"/>
                      </w:rPr>
                    </w:pPr>
                    <w:r>
                      <w:fldChar w:fldCharType="begin"/>
                    </w:r>
                    <w:r>
                      <w:rPr>
                        <w:rFonts w:ascii="Times New Roman"/>
                        <w:sz w:val="18"/>
                      </w:rPr>
                      <w:instrText xml:space="preserve"> PAGE </w:instrText>
                    </w:r>
                    <w:r>
                      <w:fldChar w:fldCharType="separate"/>
                    </w:r>
                    <w:r>
                      <w:rPr>
                        <w:rFonts w:ascii="Times New Roman"/>
                        <w:sz w:val="18"/>
                      </w:rP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CDC0F">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EB0D96"/>
    <w:multiLevelType w:val="singleLevel"/>
    <w:tmpl w:val="A4EB0D96"/>
    <w:lvl w:ilvl="0" w:tentative="0">
      <w:start w:val="1"/>
      <w:numFmt w:val="chineseCounting"/>
      <w:suff w:val="nothing"/>
      <w:lvlText w:val="%1、"/>
      <w:lvlJc w:val="left"/>
      <w:pPr>
        <w:ind w:left="0" w:firstLine="420"/>
      </w:pPr>
      <w:rPr>
        <w:rFonts w:hint="eastAsia"/>
      </w:rPr>
    </w:lvl>
  </w:abstractNum>
  <w:abstractNum w:abstractNumId="1">
    <w:nsid w:val="BA737C51"/>
    <w:multiLevelType w:val="singleLevel"/>
    <w:tmpl w:val="BA737C5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3MjA2MGNjMTAxNDMwNDBmNTk0ODdjNjA0OTUyZTcifQ=="/>
  </w:docVars>
  <w:rsids>
    <w:rsidRoot w:val="00FC3D94"/>
    <w:rsid w:val="0023722A"/>
    <w:rsid w:val="00332692"/>
    <w:rsid w:val="00435CAC"/>
    <w:rsid w:val="005D512C"/>
    <w:rsid w:val="00830814"/>
    <w:rsid w:val="00852210"/>
    <w:rsid w:val="008D0C30"/>
    <w:rsid w:val="009808B8"/>
    <w:rsid w:val="00D3559E"/>
    <w:rsid w:val="00DB60E6"/>
    <w:rsid w:val="00F604A4"/>
    <w:rsid w:val="00F632B5"/>
    <w:rsid w:val="00FC3D94"/>
    <w:rsid w:val="02510197"/>
    <w:rsid w:val="02685C0C"/>
    <w:rsid w:val="0279219D"/>
    <w:rsid w:val="04082041"/>
    <w:rsid w:val="0ADB0F46"/>
    <w:rsid w:val="0B100735"/>
    <w:rsid w:val="0DE574C0"/>
    <w:rsid w:val="0E0D4685"/>
    <w:rsid w:val="0E8F64D0"/>
    <w:rsid w:val="0E9E6FC1"/>
    <w:rsid w:val="0EA97D98"/>
    <w:rsid w:val="0FA10983"/>
    <w:rsid w:val="1167788F"/>
    <w:rsid w:val="11C348E0"/>
    <w:rsid w:val="13DF45C7"/>
    <w:rsid w:val="14036063"/>
    <w:rsid w:val="14787C74"/>
    <w:rsid w:val="16FD650F"/>
    <w:rsid w:val="17A95554"/>
    <w:rsid w:val="180970F2"/>
    <w:rsid w:val="182E6048"/>
    <w:rsid w:val="18323CF5"/>
    <w:rsid w:val="188A0991"/>
    <w:rsid w:val="19994274"/>
    <w:rsid w:val="1A17604E"/>
    <w:rsid w:val="1A654051"/>
    <w:rsid w:val="1AF70726"/>
    <w:rsid w:val="1B677495"/>
    <w:rsid w:val="1CE640F5"/>
    <w:rsid w:val="1F377A18"/>
    <w:rsid w:val="1F9000F9"/>
    <w:rsid w:val="208529C7"/>
    <w:rsid w:val="21566767"/>
    <w:rsid w:val="22E618D7"/>
    <w:rsid w:val="24B25E39"/>
    <w:rsid w:val="24BC106B"/>
    <w:rsid w:val="256A4765"/>
    <w:rsid w:val="27E10FAB"/>
    <w:rsid w:val="283E5914"/>
    <w:rsid w:val="29FB6096"/>
    <w:rsid w:val="2A113D58"/>
    <w:rsid w:val="2C171486"/>
    <w:rsid w:val="358F6A93"/>
    <w:rsid w:val="36F050ED"/>
    <w:rsid w:val="374455F9"/>
    <w:rsid w:val="37660568"/>
    <w:rsid w:val="38302288"/>
    <w:rsid w:val="38645D28"/>
    <w:rsid w:val="390A4620"/>
    <w:rsid w:val="3BBF5B96"/>
    <w:rsid w:val="3CBF2C2A"/>
    <w:rsid w:val="3DE50E53"/>
    <w:rsid w:val="3F6F02DC"/>
    <w:rsid w:val="3F982A50"/>
    <w:rsid w:val="3FCA2210"/>
    <w:rsid w:val="41401527"/>
    <w:rsid w:val="42134797"/>
    <w:rsid w:val="42590FC9"/>
    <w:rsid w:val="44C66672"/>
    <w:rsid w:val="45845552"/>
    <w:rsid w:val="49686A07"/>
    <w:rsid w:val="4BB130D0"/>
    <w:rsid w:val="4C793B3F"/>
    <w:rsid w:val="4CAE1826"/>
    <w:rsid w:val="4DE31073"/>
    <w:rsid w:val="4F072690"/>
    <w:rsid w:val="4F7725B8"/>
    <w:rsid w:val="52031174"/>
    <w:rsid w:val="52FC172B"/>
    <w:rsid w:val="547E328A"/>
    <w:rsid w:val="559A008A"/>
    <w:rsid w:val="5915286E"/>
    <w:rsid w:val="5AA65FC1"/>
    <w:rsid w:val="5ABE6B27"/>
    <w:rsid w:val="5B4F34D1"/>
    <w:rsid w:val="5C864282"/>
    <w:rsid w:val="5CB17885"/>
    <w:rsid w:val="5DD33AEC"/>
    <w:rsid w:val="5E09027E"/>
    <w:rsid w:val="5F876976"/>
    <w:rsid w:val="60CC7399"/>
    <w:rsid w:val="61FA7436"/>
    <w:rsid w:val="650315F5"/>
    <w:rsid w:val="6950052D"/>
    <w:rsid w:val="6A126CF1"/>
    <w:rsid w:val="6A4D7603"/>
    <w:rsid w:val="6B583E26"/>
    <w:rsid w:val="6D626FEE"/>
    <w:rsid w:val="6D7F6FE9"/>
    <w:rsid w:val="6F1E7F02"/>
    <w:rsid w:val="708366E0"/>
    <w:rsid w:val="724D3E30"/>
    <w:rsid w:val="72A16C0D"/>
    <w:rsid w:val="751E000F"/>
    <w:rsid w:val="76BF474E"/>
    <w:rsid w:val="77846D70"/>
    <w:rsid w:val="796D454F"/>
    <w:rsid w:val="7B1804E5"/>
    <w:rsid w:val="7D527692"/>
    <w:rsid w:val="7DEC56EB"/>
    <w:rsid w:val="7F2B3B60"/>
    <w:rsid w:val="7F375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before="156"/>
      <w:ind w:left="592"/>
      <w:outlineLvl w:val="0"/>
    </w:pPr>
    <w:rPr>
      <w:rFonts w:ascii="宋体" w:hAnsi="宋体" w:eastAsia="宋体"/>
      <w:b/>
      <w:bCs/>
      <w:sz w:val="2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17"/>
    <w:uiPriority w:val="0"/>
    <w:pPr>
      <w:jc w:val="left"/>
    </w:pPr>
  </w:style>
  <w:style w:type="paragraph" w:styleId="7">
    <w:name w:val="Body Text"/>
    <w:basedOn w:val="1"/>
    <w:qFormat/>
    <w:uiPriority w:val="1"/>
    <w:pPr>
      <w:ind w:left="112"/>
    </w:pPr>
    <w:rPr>
      <w:rFonts w:ascii="宋体" w:hAnsi="宋体" w:eastAsia="宋体"/>
      <w:sz w:val="24"/>
    </w:rPr>
  </w:style>
  <w:style w:type="paragraph" w:styleId="8">
    <w:name w:val="footer"/>
    <w:basedOn w:val="1"/>
    <w:unhideWhenUsed/>
    <w:qFormat/>
    <w:uiPriority w:val="99"/>
    <w:pPr>
      <w:tabs>
        <w:tab w:val="center" w:pos="4320"/>
        <w:tab w:val="right" w:pos="8640"/>
      </w:tabs>
    </w:pPr>
  </w:style>
  <w:style w:type="paragraph" w:styleId="9">
    <w:name w:val="header"/>
    <w:basedOn w:val="1"/>
    <w:unhideWhenUsed/>
    <w:qFormat/>
    <w:uiPriority w:val="99"/>
    <w:pPr>
      <w:tabs>
        <w:tab w:val="center" w:pos="4320"/>
        <w:tab w:val="right" w:pos="8640"/>
      </w:tabs>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annotation subject"/>
    <w:basedOn w:val="6"/>
    <w:next w:val="6"/>
    <w:link w:val="18"/>
    <w:qFormat/>
    <w:uiPriority w:val="0"/>
    <w:rPr>
      <w:b/>
      <w:bCs/>
    </w:rPr>
  </w:style>
  <w:style w:type="table" w:styleId="13">
    <w:name w:val="Table Grid"/>
    <w:basedOn w:val="1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annotation reference"/>
    <w:basedOn w:val="14"/>
    <w:qFormat/>
    <w:uiPriority w:val="0"/>
    <w:rPr>
      <w:sz w:val="21"/>
      <w:szCs w:val="21"/>
    </w:rPr>
  </w:style>
  <w:style w:type="paragraph" w:customStyle="1" w:styleId="16">
    <w:name w:val="Table Paragraph"/>
    <w:basedOn w:val="1"/>
    <w:qFormat/>
    <w:uiPriority w:val="1"/>
  </w:style>
  <w:style w:type="character" w:customStyle="1" w:styleId="17">
    <w:name w:val="批注文字 字符"/>
    <w:basedOn w:val="14"/>
    <w:link w:val="6"/>
    <w:qFormat/>
    <w:uiPriority w:val="0"/>
    <w:rPr>
      <w:rFonts w:asciiTheme="minorHAnsi" w:hAnsiTheme="minorHAnsi" w:eastAsiaTheme="minorEastAsia" w:cstheme="minorBidi"/>
      <w:kern w:val="2"/>
      <w:sz w:val="21"/>
      <w:szCs w:val="24"/>
    </w:rPr>
  </w:style>
  <w:style w:type="character" w:customStyle="1" w:styleId="18">
    <w:name w:val="批注主题 字符"/>
    <w:basedOn w:val="17"/>
    <w:link w:val="11"/>
    <w:uiPriority w:val="0"/>
    <w:rPr>
      <w:rFonts w:asciiTheme="minorHAnsi" w:hAnsiTheme="minorHAnsi" w:eastAsiaTheme="minorEastAsia" w:cstheme="minorBidi"/>
      <w:b/>
      <w:bCs/>
      <w:kern w:val="2"/>
      <w:sz w:val="21"/>
      <w:szCs w:val="24"/>
    </w:rPr>
  </w:style>
  <w:style w:type="character" w:customStyle="1" w:styleId="19">
    <w:name w:val="font21"/>
    <w:basedOn w:val="14"/>
    <w:qFormat/>
    <w:uiPriority w:val="0"/>
    <w:rPr>
      <w:rFonts w:hint="eastAsia" w:ascii="微软雅黑" w:hAnsi="微软雅黑" w:eastAsia="微软雅黑" w:cs="微软雅黑"/>
      <w:color w:val="000000"/>
      <w:sz w:val="20"/>
      <w:szCs w:val="20"/>
      <w:u w:val="none"/>
    </w:rPr>
  </w:style>
  <w:style w:type="character" w:customStyle="1" w:styleId="20">
    <w:name w:val="font51"/>
    <w:basedOn w:val="14"/>
    <w:qFormat/>
    <w:uiPriority w:val="0"/>
    <w:rPr>
      <w:rFonts w:hint="eastAsia" w:ascii="微软雅黑" w:hAnsi="微软雅黑" w:eastAsia="微软雅黑" w:cs="微软雅黑"/>
      <w:b/>
      <w:bCs/>
      <w:color w:val="000000"/>
      <w:sz w:val="20"/>
      <w:szCs w:val="20"/>
      <w:u w:val="none"/>
    </w:rPr>
  </w:style>
  <w:style w:type="character" w:customStyle="1" w:styleId="21">
    <w:name w:val="font31"/>
    <w:basedOn w:val="14"/>
    <w:qFormat/>
    <w:uiPriority w:val="0"/>
    <w:rPr>
      <w:rFonts w:hint="eastAsia" w:ascii="宋体" w:hAnsi="宋体" w:eastAsia="宋体" w:cs="宋体"/>
      <w:color w:val="000000"/>
      <w:sz w:val="21"/>
      <w:szCs w:val="21"/>
      <w:u w:val="none"/>
    </w:rPr>
  </w:style>
  <w:style w:type="paragraph" w:customStyle="1" w:styleId="22">
    <w:name w:val="默认样式"/>
    <w:qFormat/>
    <w:uiPriority w:val="0"/>
    <w:pPr>
      <w:widowControl w:val="0"/>
      <w:suppressAutoHyphens/>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4368</Words>
  <Characters>4451</Characters>
  <Lines>87</Lines>
  <Paragraphs>24</Paragraphs>
  <TotalTime>13</TotalTime>
  <ScaleCrop>false</ScaleCrop>
  <LinksUpToDate>false</LinksUpToDate>
  <CharactersWithSpaces>4471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2023-03-11T03:35:00Z</dcterms:created>
  <dc:creator>Administrator</dc:creator>
  <cp:lastModifiedBy>王忠伟</cp:lastModifiedBy>
  <dcterms:modified xsi:type="dcterms:W3CDTF">2026-08-12T04:29:47Z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85DCC8E37929413AA99239FC13D6BE6C_13</vt:lpwstr>
  </property>
  <property fmtid="{D5CDD505-2E9C-101B-9397-08002B2CF9AE}" pid="4" name="KSOTemplateDocerSaveRecord">
    <vt:lpwstr>eyJoZGlkIjoiNzgzMmFlZjg3ODU4YTFjM2I0ODlkZDg3MDY4ZjE1MDgiLCJ1c2VySWQiOiI0NTExNDI3MTUifQ==</vt:lpwstr>
  </property>
</Properties>
</file>